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FC34EF" w:rsidP="00FC34EF">
      <w:pPr>
        <w:jc w:val="center"/>
        <w:rPr>
          <w:sz w:val="32"/>
          <w:szCs w:val="32"/>
        </w:rPr>
      </w:pPr>
      <w:r>
        <w:rPr>
          <w:sz w:val="32"/>
          <w:szCs w:val="32"/>
        </w:rPr>
        <w:t>N200-Theories and Issues in Nursing</w:t>
      </w:r>
    </w:p>
    <w:p w:rsidR="00FC34EF" w:rsidRDefault="00FC34EF" w:rsidP="00FC34EF">
      <w:pPr>
        <w:jc w:val="center"/>
        <w:rPr>
          <w:sz w:val="32"/>
          <w:szCs w:val="32"/>
        </w:rPr>
      </w:pPr>
      <w:r>
        <w:rPr>
          <w:sz w:val="32"/>
          <w:szCs w:val="32"/>
        </w:rPr>
        <w:t>Exam 4 – Study Guide</w:t>
      </w:r>
    </w:p>
    <w:p w:rsidR="00FC34EF" w:rsidRDefault="00FC34EF" w:rsidP="00FC34EF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Chapter 8 – Critical Thinking</w:t>
      </w:r>
    </w:p>
    <w:p w:rsidR="00FC34EF" w:rsidRDefault="00FC34EF" w:rsidP="000456AE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 components from the American Philosophical Association’s interpretation of what an ideal critical thinker is. (p. 172)</w:t>
      </w:r>
    </w:p>
    <w:p w:rsidR="00FC34EF" w:rsidRDefault="00FC34EF" w:rsidP="000456AE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 the characteristics of a critical thinker. (p. 174)</w:t>
      </w:r>
    </w:p>
    <w:p w:rsidR="00FC34EF" w:rsidRDefault="00FC34EF" w:rsidP="000456AE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 characteristics of a novice and an expert thinker. (pp. 173-174)</w:t>
      </w:r>
    </w:p>
    <w:p w:rsidR="00FC34EF" w:rsidRDefault="00FC34EF" w:rsidP="00FC34EF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Chapter 9 – Communication &amp; Collaboration</w:t>
      </w:r>
    </w:p>
    <w:p w:rsidR="00FC34EF" w:rsidRDefault="00FC34EF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ways in which you exhibit therapeutic communication techniques. (pp. 196-200)</w:t>
      </w:r>
    </w:p>
    <w:p w:rsidR="00FC34EF" w:rsidRDefault="00FC34EF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the three phases of the traditional Nurse-Patient relationship model. (pp. 193-196)</w:t>
      </w:r>
    </w:p>
    <w:p w:rsidR="00FC34EF" w:rsidRDefault="00FC34EF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Describe the three phases of the traditional Nurse-Patient relationship model.</w:t>
      </w:r>
    </w:p>
    <w:p w:rsidR="00FC34EF" w:rsidRDefault="00FC34EF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Describe the differences between a social relationship and a professional relationship. (p. 195)</w:t>
      </w:r>
    </w:p>
    <w:p w:rsidR="00FC34EF" w:rsidRDefault="00FC34EF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the principles for determining professional boundaries. (p. 197)</w:t>
      </w:r>
    </w:p>
    <w:p w:rsidR="005067CA" w:rsidRDefault="005067CA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ways a nurse can be an active listener. (pp. 204-206)</w:t>
      </w:r>
    </w:p>
    <w:p w:rsidR="005067CA" w:rsidRDefault="005067CA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ways a nurse can be a helpful listener. (pp. 206-210)</w:t>
      </w:r>
    </w:p>
    <w:p w:rsidR="005067CA" w:rsidRDefault="005067CA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the key components to successful collaboration. (p. 215)</w:t>
      </w:r>
    </w:p>
    <w:p w:rsidR="005067CA" w:rsidRDefault="005067CA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some barriers to successful communication with a physician. (pp. 216-217)</w:t>
      </w:r>
    </w:p>
    <w:p w:rsidR="005067CA" w:rsidRDefault="005067CA" w:rsidP="000456A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ways to improve the collaborative efforts of a healthcare team. (p. 219)</w:t>
      </w:r>
    </w:p>
    <w:p w:rsidR="005067CA" w:rsidRDefault="005067CA" w:rsidP="005067CA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Chapter 10 – Cultural Competency</w:t>
      </w:r>
    </w:p>
    <w:p w:rsidR="005067CA" w:rsidRDefault="005067CA" w:rsidP="000456A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how culture impacts an individual’s health practices. (p. 231)</w:t>
      </w:r>
    </w:p>
    <w:p w:rsidR="005067CA" w:rsidRDefault="005067CA" w:rsidP="000456A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Identify the major components of a cultural assessment. (p</w:t>
      </w:r>
      <w:r w:rsidR="000456AE">
        <w:rPr>
          <w:szCs w:val="24"/>
        </w:rPr>
        <w:t>p</w:t>
      </w:r>
      <w:r>
        <w:rPr>
          <w:szCs w:val="24"/>
        </w:rPr>
        <w:t xml:space="preserve">. </w:t>
      </w:r>
      <w:r w:rsidR="000456AE">
        <w:rPr>
          <w:szCs w:val="24"/>
        </w:rPr>
        <w:t>233-</w:t>
      </w:r>
      <w:r>
        <w:rPr>
          <w:szCs w:val="24"/>
        </w:rPr>
        <w:t>235)</w:t>
      </w:r>
    </w:p>
    <w:p w:rsidR="005067CA" w:rsidRPr="005067CA" w:rsidRDefault="005067CA" w:rsidP="000456A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Discuss the following concepts: ethnocentricity; stereotyping; personal space; </w:t>
      </w:r>
      <w:proofErr w:type="spellStart"/>
      <w:r>
        <w:rPr>
          <w:szCs w:val="24"/>
        </w:rPr>
        <w:t>ethnopharmacology</w:t>
      </w:r>
      <w:proofErr w:type="spellEnd"/>
      <w:r w:rsidR="000456AE">
        <w:rPr>
          <w:szCs w:val="24"/>
        </w:rPr>
        <w:t>.</w:t>
      </w:r>
      <w:r>
        <w:rPr>
          <w:szCs w:val="24"/>
        </w:rPr>
        <w:t xml:space="preserve"> (pp. 232-</w:t>
      </w:r>
      <w:r w:rsidR="000456AE">
        <w:rPr>
          <w:szCs w:val="24"/>
        </w:rPr>
        <w:t>233)</w:t>
      </w:r>
    </w:p>
    <w:p w:rsidR="005067CA" w:rsidRPr="005067CA" w:rsidRDefault="005067CA" w:rsidP="005067CA">
      <w:pPr>
        <w:pStyle w:val="ListParagraph"/>
        <w:jc w:val="both"/>
        <w:rPr>
          <w:b/>
          <w:szCs w:val="24"/>
          <w:u w:val="single"/>
        </w:rPr>
      </w:pPr>
    </w:p>
    <w:sectPr w:rsidR="005067CA" w:rsidRPr="005067CA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D44"/>
    <w:multiLevelType w:val="hybridMultilevel"/>
    <w:tmpl w:val="6EBC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1D2B"/>
    <w:multiLevelType w:val="hybridMultilevel"/>
    <w:tmpl w:val="CF06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17DC6"/>
    <w:multiLevelType w:val="hybridMultilevel"/>
    <w:tmpl w:val="A662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C34EF"/>
    <w:rsid w:val="000456AE"/>
    <w:rsid w:val="0014495E"/>
    <w:rsid w:val="00244BB5"/>
    <w:rsid w:val="005067CA"/>
    <w:rsid w:val="00861976"/>
    <w:rsid w:val="00C15487"/>
    <w:rsid w:val="00CF1BEF"/>
    <w:rsid w:val="00FC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2010-11-18T00:43:00Z</dcterms:created>
  <dcterms:modified xsi:type="dcterms:W3CDTF">2010-11-18T01:05:00Z</dcterms:modified>
</cp:coreProperties>
</file>