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1C" w:rsidRDefault="00B5271C" w:rsidP="00EA50D0">
      <w:pPr>
        <w:spacing w:line="480" w:lineRule="auto"/>
      </w:pPr>
    </w:p>
    <w:p w:rsidR="00EA50D0" w:rsidRDefault="00EA50D0" w:rsidP="00EA50D0">
      <w:pPr>
        <w:spacing w:line="480" w:lineRule="auto"/>
      </w:pPr>
    </w:p>
    <w:p w:rsidR="00510E84" w:rsidRDefault="00510E84" w:rsidP="00EA50D0">
      <w:pPr>
        <w:spacing w:line="480" w:lineRule="auto"/>
      </w:pPr>
    </w:p>
    <w:p w:rsidR="00EA50D0" w:rsidRDefault="00EA50D0" w:rsidP="00EA50D0">
      <w:pPr>
        <w:spacing w:line="480" w:lineRule="auto"/>
      </w:pPr>
    </w:p>
    <w:p w:rsidR="00EA50D0" w:rsidRDefault="00EA50D0" w:rsidP="00EA50D0">
      <w:pPr>
        <w:spacing w:line="480" w:lineRule="auto"/>
        <w:jc w:val="center"/>
      </w:pPr>
      <w:r>
        <w:t>Evidence-Based Practice Paper</w:t>
      </w:r>
    </w:p>
    <w:p w:rsidR="00EA50D0" w:rsidRDefault="00EA50D0" w:rsidP="00EA50D0">
      <w:pPr>
        <w:spacing w:line="480" w:lineRule="auto"/>
        <w:jc w:val="center"/>
      </w:pPr>
      <w:r>
        <w:t>Gregory Cahill</w:t>
      </w:r>
    </w:p>
    <w:p w:rsidR="00EA50D0" w:rsidRDefault="00EA50D0" w:rsidP="00EA50D0">
      <w:pPr>
        <w:spacing w:line="480" w:lineRule="auto"/>
        <w:jc w:val="center"/>
      </w:pPr>
      <w:r>
        <w:t xml:space="preserve">Lakeview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Nursing</w:t>
          </w:r>
        </w:smartTag>
      </w:smartTag>
    </w:p>
    <w:p w:rsidR="00EA50D0" w:rsidRDefault="00EA50D0" w:rsidP="00EA50D0">
      <w:pPr>
        <w:spacing w:line="480" w:lineRule="auto"/>
        <w:jc w:val="center"/>
      </w:pPr>
      <w:smartTag w:uri="urn:schemas-microsoft-com:office:smarttags" w:element="date">
        <w:smartTagPr>
          <w:attr w:name="Year" w:val="2012"/>
          <w:attr w:name="Day" w:val="26"/>
          <w:attr w:name="Month" w:val="7"/>
        </w:smartTagPr>
        <w:r>
          <w:t>July 26, 2012</w:t>
        </w:r>
      </w:smartTag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</w:p>
    <w:p w:rsidR="00EA50D0" w:rsidRDefault="00EA50D0" w:rsidP="00EA50D0">
      <w:pPr>
        <w:spacing w:line="480" w:lineRule="auto"/>
        <w:jc w:val="center"/>
      </w:pPr>
      <w:r>
        <w:lastRenderedPageBreak/>
        <w:t>EVIDENCE-BASED PRACTICE PAPER</w:t>
      </w:r>
    </w:p>
    <w:p w:rsidR="00E50412" w:rsidRDefault="00EA50D0" w:rsidP="00EA50D0">
      <w:pPr>
        <w:spacing w:line="480" w:lineRule="auto"/>
      </w:pPr>
      <w:r>
        <w:tab/>
        <w:t xml:space="preserve">This paper will review the protocol from </w:t>
      </w:r>
      <w:r w:rsidR="009B079F">
        <w:t xml:space="preserve">“Putting Evidence into Practice: Prevention and management of Bleeding in Patients with Cancer”.  Many cancer patients experience bleeding as a direct result of the cancer or as a secondary affect related to treatment.  This protocol evaluates measures to prevent and manage bleeding in cancer patients.  </w:t>
      </w:r>
      <w:r w:rsidR="003C26AE">
        <w:t xml:space="preserve">The study reviewed 14 prevention/treatment options focusing on the outcomes of platelet count, morbidity, quality of life and mortality </w:t>
      </w:r>
      <w:r w:rsidR="003C26AE" w:rsidRPr="0021621B">
        <w:t>(Damron, Brant, Belansky, Friend, Samsonow &amp; Schaal, 2009)</w:t>
      </w:r>
      <w:r w:rsidR="003C26AE">
        <w:t xml:space="preserve">.  </w:t>
      </w:r>
      <w:r w:rsidR="00D16069">
        <w:t xml:space="preserve">The study reviewed literature and divided it into three subgroups; antifibrinolytic and pharmacology, blood products and non-pharmacology, and procedures </w:t>
      </w:r>
      <w:r w:rsidR="00D16069" w:rsidRPr="0021621B">
        <w:t>(Damron</w:t>
      </w:r>
      <w:r w:rsidR="00D16069">
        <w:t xml:space="preserve"> et al., 200</w:t>
      </w:r>
      <w:r w:rsidR="00D16069" w:rsidRPr="0021621B">
        <w:t>9</w:t>
      </w:r>
      <w:r w:rsidR="00D16069">
        <w:t xml:space="preserve">). </w:t>
      </w:r>
      <w:r w:rsidR="009B079F">
        <w:t>The study</w:t>
      </w:r>
      <w:r w:rsidR="00D16069">
        <w:t xml:space="preserve"> used two rating systems to rate the</w:t>
      </w:r>
      <w:r w:rsidR="003C26AE">
        <w:t xml:space="preserve"> strength of the evidenc</w:t>
      </w:r>
      <w:r w:rsidR="00D16069">
        <w:t>e for each intervention from one being the strongest evidence and eight</w:t>
      </w:r>
      <w:r w:rsidR="003C26AE">
        <w:t xml:space="preserve"> </w:t>
      </w:r>
      <w:r w:rsidR="00D16069">
        <w:t xml:space="preserve">having the least evidence and in the other rating system one was the best evidence and 3 being the least </w:t>
      </w:r>
      <w:r w:rsidR="0021621B" w:rsidRPr="0021621B">
        <w:t>(Damron</w:t>
      </w:r>
      <w:r w:rsidR="00D16069">
        <w:t xml:space="preserve"> et al., 200</w:t>
      </w:r>
      <w:r w:rsidR="0021621B" w:rsidRPr="0021621B">
        <w:t>9</w:t>
      </w:r>
      <w:r w:rsidR="00D16069">
        <w:t>).  The research was then manufactured into three categories; recommended for practice, likely to be effective and expert opinion.</w:t>
      </w:r>
    </w:p>
    <w:p w:rsidR="004E5E8F" w:rsidRDefault="00E50412" w:rsidP="00EA50D0">
      <w:pPr>
        <w:spacing w:line="480" w:lineRule="auto"/>
      </w:pPr>
      <w:r>
        <w:tab/>
        <w:t>Platelet transfusion therapy and mercapto ethane sulfonate sodium (MESNA) are recommended for practice based on the situation of the patient and treatmen</w:t>
      </w:r>
      <w:r w:rsidR="008F52C4">
        <w:t xml:space="preserve">t </w:t>
      </w:r>
      <w:r w:rsidR="008F52C4" w:rsidRPr="008F52C4">
        <w:t>(Damron et al., 2009</w:t>
      </w:r>
      <w:r w:rsidR="008F52C4">
        <w:t>).</w:t>
      </w:r>
      <w:r w:rsidR="00A11B34">
        <w:t xml:space="preserve">  </w:t>
      </w:r>
      <w:r w:rsidR="00CE6951">
        <w:t xml:space="preserve">Most of the interventions fall into the category of </w:t>
      </w:r>
      <w:r w:rsidR="008B22D2">
        <w:t xml:space="preserve">effectiveness not established.  These range from </w:t>
      </w:r>
      <w:r w:rsidR="00A31372">
        <w:t xml:space="preserve">ineffective treatments to treatments that are probably effective but do not have enough evidence to put them into the recommended category.  </w:t>
      </w:r>
      <w:r w:rsidR="00702080">
        <w:t>Expert opinion</w:t>
      </w:r>
      <w:r w:rsidR="00A64443">
        <w:t>s</w:t>
      </w:r>
      <w:r w:rsidR="00702080">
        <w:t xml:space="preserve"> </w:t>
      </w:r>
      <w:r w:rsidR="00AE7964">
        <w:t>consist of “low-risk interventions that are consistent with sound clinical practice, suggested by an expert in a peer-reviewed publication.” (Damron et al., 2009)</w:t>
      </w:r>
      <w:r w:rsidR="00CA4C84">
        <w:t xml:space="preserve">  Most literature focusing on preventing or managing bleeding focus on bleeding wounds </w:t>
      </w:r>
      <w:r w:rsidR="00CA4C84" w:rsidRPr="00CA4C84">
        <w:lastRenderedPageBreak/>
        <w:t>(Damron et al., 2009)</w:t>
      </w:r>
      <w:r w:rsidR="00CA4C84">
        <w:t>.</w:t>
      </w:r>
      <w:r w:rsidR="00721CDC">
        <w:t xml:space="preserve">  Nurses should use the standard guidelines for wound or orifice bleeding until more research can be conducted</w:t>
      </w:r>
      <w:r w:rsidR="00CA4C84" w:rsidRPr="00CA4C84">
        <w:t xml:space="preserve"> </w:t>
      </w:r>
      <w:r w:rsidR="00721CDC" w:rsidRPr="00721CDC">
        <w:t>(Damron et al., 2009)</w:t>
      </w:r>
      <w:r w:rsidR="00721CDC">
        <w:t>.</w:t>
      </w:r>
      <w:r w:rsidR="00721CDC" w:rsidRPr="00721CDC">
        <w:t xml:space="preserve"> </w:t>
      </w:r>
    </w:p>
    <w:p w:rsidR="00294E3F" w:rsidRDefault="00294E3F" w:rsidP="00EA50D0">
      <w:pPr>
        <w:spacing w:line="480" w:lineRule="auto"/>
      </w:pPr>
      <w:r>
        <w:tab/>
      </w:r>
      <w:r w:rsidR="00D65499">
        <w:t>Hemorrhage</w:t>
      </w:r>
      <w:r w:rsidR="007113F0">
        <w:t xml:space="preserve">, especially in oncology patients, can be a life threatening incident.  </w:t>
      </w:r>
      <w:r w:rsidR="00D65499">
        <w:t xml:space="preserve">Nurses must be able to assess for bleeding in their patients and should know the risk factors that contribute to bleeding in oncology patients.  </w:t>
      </w:r>
      <w:r w:rsidR="007113F0">
        <w:t>Nurses need to know what interventions are appropriate for their clients and should be able to as</w:t>
      </w:r>
      <w:r w:rsidR="00CE6951">
        <w:t>sess when these interventions are rec</w:t>
      </w:r>
      <w:r w:rsidR="00DE70F8">
        <w:t xml:space="preserve">ommended.  Nurses are also responsible for teaching patients about </w:t>
      </w:r>
      <w:r w:rsidR="00781130">
        <w:t>self-</w:t>
      </w:r>
      <w:r w:rsidR="008A3442">
        <w:t xml:space="preserve">care and prevention of injury that can lead to hemorrhage </w:t>
      </w:r>
      <w:r w:rsidR="008A3442" w:rsidRPr="008A3442">
        <w:t>(Damron et al., 2009)</w:t>
      </w:r>
      <w:r w:rsidR="008A3442">
        <w:t>.</w:t>
      </w:r>
      <w:r w:rsidR="008A3442" w:rsidRPr="008A3442">
        <w:t xml:space="preserve">  </w:t>
      </w:r>
      <w:r w:rsidR="00DE70F8">
        <w:t xml:space="preserve"> </w:t>
      </w:r>
    </w:p>
    <w:p w:rsidR="00D43BD0" w:rsidRDefault="00DF7689" w:rsidP="00EA50D0">
      <w:pPr>
        <w:spacing w:line="480" w:lineRule="auto"/>
      </w:pPr>
      <w:r>
        <w:tab/>
        <w:t xml:space="preserve">According to </w:t>
      </w:r>
      <w:r w:rsidR="001F4997">
        <w:t>(</w:t>
      </w:r>
      <w:r w:rsidR="001F4997" w:rsidRPr="001F4997">
        <w:t>Berg,</w:t>
      </w:r>
      <w:r w:rsidR="001F4997">
        <w:t xml:space="preserve"> </w:t>
      </w:r>
      <w:r w:rsidR="001F4997" w:rsidRPr="001F4997">
        <w:t>van den Bemt, Shantakumar, Bennett, Voest, Huisman,</w:t>
      </w:r>
      <w:r w:rsidR="001F4997">
        <w:t xml:space="preserve"> </w:t>
      </w:r>
      <w:r w:rsidR="001F4997" w:rsidRPr="001F4997">
        <w:t>&amp;</w:t>
      </w:r>
      <w:r w:rsidR="00A6370A">
        <w:t xml:space="preserve"> </w:t>
      </w:r>
      <w:r w:rsidR="001F4997" w:rsidRPr="001F4997">
        <w:t>Egberts,</w:t>
      </w:r>
      <w:r w:rsidR="00A6370A">
        <w:t xml:space="preserve"> </w:t>
      </w:r>
      <w:r w:rsidR="001F4997" w:rsidRPr="001F4997">
        <w:t>2011</w:t>
      </w:r>
      <w:r w:rsidR="00A6370A">
        <w:t>) thrombocytopenia has a frequency of 21.8%</w:t>
      </w:r>
      <w:r w:rsidR="00D43BD0">
        <w:t xml:space="preserve"> and an isolated thrombocytopenia frequency of 6.2%</w:t>
      </w:r>
      <w:r w:rsidR="009669B7">
        <w:t xml:space="preserve"> in patients receiving chemotherapy for solid tumors.  </w:t>
      </w:r>
      <w:r w:rsidR="00982870">
        <w:t>The researchers</w:t>
      </w:r>
      <w:r w:rsidR="009669B7">
        <w:t xml:space="preserve"> performed a retrospective, hospital-based </w:t>
      </w:r>
      <w:r w:rsidR="00CA6137">
        <w:t>study at the University Medical Ce</w:t>
      </w:r>
      <w:r w:rsidR="00503605">
        <w:t>nter Ultrecht for the period of January 200</w:t>
      </w:r>
      <w:r w:rsidR="009F3EC7">
        <w:t>4</w:t>
      </w:r>
      <w:r w:rsidR="00503605">
        <w:t xml:space="preserve"> to December </w:t>
      </w:r>
      <w:r w:rsidR="00CA6137">
        <w:t xml:space="preserve">2006 (Berg et al., 2001).  </w:t>
      </w:r>
      <w:r w:rsidR="008B3689">
        <w:t xml:space="preserve">The researchers mined the data base of the institution for patients that fulfilled their criteria. </w:t>
      </w:r>
      <w:r w:rsidR="000B48FD">
        <w:t xml:space="preserve">The sample included all adult receiving chemotherapy for solid tumors in the specified period.  </w:t>
      </w:r>
      <w:r w:rsidR="003969EA">
        <w:t>The researchers were trying to determine what the rate and related risk factors of thrombocytopenia in patients receiving chemotherapy for solid tumors</w:t>
      </w:r>
      <w:r w:rsidR="009F3EC7">
        <w:t xml:space="preserve"> (Berg et al., 2011)</w:t>
      </w:r>
      <w:r w:rsidR="003969EA">
        <w:t>.</w:t>
      </w:r>
      <w:r w:rsidR="009F3EC7">
        <w:t xml:space="preserve">  </w:t>
      </w:r>
      <w:r w:rsidR="007F42ED">
        <w:t>The study confirms that thrombocytopenia is of concern in cancer patients and had many of the same risk factors in the evidence-based protocol.</w:t>
      </w:r>
    </w:p>
    <w:p w:rsidR="00427674" w:rsidRDefault="009A2E88" w:rsidP="00A20E6E">
      <w:pPr>
        <w:spacing w:line="480" w:lineRule="auto"/>
        <w:ind w:firstLine="720"/>
      </w:pPr>
      <w:r w:rsidRPr="009A2E88">
        <w:t>Montero, Estrov, Freireich,</w:t>
      </w:r>
      <w:r>
        <w:t xml:space="preserve"> </w:t>
      </w:r>
      <w:r w:rsidRPr="009A2E88">
        <w:t>Khouri,</w:t>
      </w:r>
      <w:r>
        <w:t xml:space="preserve"> </w:t>
      </w:r>
      <w:r w:rsidRPr="009A2E88">
        <w:t>Koller,</w:t>
      </w:r>
      <w:r>
        <w:t xml:space="preserve"> </w:t>
      </w:r>
      <w:r w:rsidRPr="009A2E88">
        <w:t>&amp; Kurzrock,</w:t>
      </w:r>
      <w:r>
        <w:t xml:space="preserve"> (2006) studied the </w:t>
      </w:r>
      <w:r w:rsidR="00F241A1">
        <w:t>interleukin-11 (IL-11)</w:t>
      </w:r>
      <w:r w:rsidR="0097671A">
        <w:t xml:space="preserve"> and the effects it had on blood cell production in patients with </w:t>
      </w:r>
      <w:r w:rsidR="0097671A" w:rsidRPr="0097671A">
        <w:t>myelodysplastic syndrome</w:t>
      </w:r>
      <w:r w:rsidR="0097671A">
        <w:t>.</w:t>
      </w:r>
      <w:r w:rsidR="00444D01">
        <w:t xml:space="preserve">  35 patients were enrolled in the study but only 32 were available for response to the study (Montero et al., 2006).  </w:t>
      </w:r>
      <w:r w:rsidR="00427674">
        <w:tab/>
      </w:r>
      <w:r w:rsidR="00260E77">
        <w:t xml:space="preserve">The study assessed the </w:t>
      </w:r>
      <w:r w:rsidR="00E361C9">
        <w:lastRenderedPageBreak/>
        <w:t xml:space="preserve">response and toxicity of low dose IL-11 for the treatment thrombocytopenia </w:t>
      </w:r>
      <w:r w:rsidR="00E361C9" w:rsidRPr="00E361C9">
        <w:t>(Montero et al., 2006)</w:t>
      </w:r>
      <w:r w:rsidR="00E361C9">
        <w:t xml:space="preserve">.  </w:t>
      </w:r>
      <w:r w:rsidR="000C22D7">
        <w:t xml:space="preserve">The researchers gave all participants subcutaneous injections of IL-11 for two weeks then had a two week rest period.  </w:t>
      </w:r>
      <w:r w:rsidR="00904C3F">
        <w:t xml:space="preserve">Based on toxicity and response to treatment the dose and frequency was increased or decreased </w:t>
      </w:r>
      <w:r w:rsidR="00904C3F" w:rsidRPr="00904C3F">
        <w:t>(Montero et al., 2006)</w:t>
      </w:r>
      <w:r w:rsidR="00904C3F">
        <w:t xml:space="preserve">. </w:t>
      </w:r>
      <w:r w:rsidR="00A20E6E">
        <w:t>“</w:t>
      </w:r>
      <w:r w:rsidR="00904C3F" w:rsidRPr="00904C3F">
        <w:t>Published guidelines from the World Health Organization</w:t>
      </w:r>
      <w:r w:rsidR="00A20E6E">
        <w:t xml:space="preserve"> </w:t>
      </w:r>
      <w:r w:rsidR="00904C3F" w:rsidRPr="00904C3F">
        <w:t>(WHO) International Working Group for</w:t>
      </w:r>
      <w:r w:rsidR="00A20E6E">
        <w:t xml:space="preserve"> </w:t>
      </w:r>
      <w:r w:rsidR="00904C3F" w:rsidRPr="00904C3F">
        <w:t>response criteria in MDS were utilized</w:t>
      </w:r>
      <w:r w:rsidR="00A20E6E">
        <w:t>.”</w:t>
      </w:r>
      <w:r w:rsidR="00904C3F">
        <w:t xml:space="preserve"> </w:t>
      </w:r>
      <w:r w:rsidR="00A20E6E" w:rsidRPr="00A20E6E">
        <w:t>(Montero et al., 2006</w:t>
      </w:r>
      <w:r w:rsidR="001D0305">
        <w:t>, p. 2050</w:t>
      </w:r>
      <w:r w:rsidR="00A20E6E" w:rsidRPr="00A20E6E">
        <w:t>)</w:t>
      </w:r>
      <w:r w:rsidR="001D0305">
        <w:t xml:space="preserve">  </w:t>
      </w:r>
      <w:r w:rsidR="00062815">
        <w:t>IL-11 has been shown to produce a platelet response of around 30%</w:t>
      </w:r>
      <w:r w:rsidR="001B644F">
        <w:t xml:space="preserve"> </w:t>
      </w:r>
      <w:r w:rsidR="001B644F" w:rsidRPr="001B644F">
        <w:t>(Montero et al., 2006).</w:t>
      </w:r>
    </w:p>
    <w:p w:rsidR="001B644F" w:rsidRDefault="001B644F" w:rsidP="00A20E6E">
      <w:pPr>
        <w:spacing w:line="480" w:lineRule="auto"/>
        <w:ind w:firstLine="720"/>
      </w:pPr>
      <w:bookmarkStart w:id="0" w:name="_GoBack"/>
      <w:bookmarkEnd w:id="0"/>
    </w:p>
    <w:p w:rsidR="00966A06" w:rsidRDefault="00966A06" w:rsidP="00EA50D0">
      <w:pPr>
        <w:spacing w:line="480" w:lineRule="auto"/>
      </w:pPr>
      <w:r>
        <w:tab/>
      </w:r>
    </w:p>
    <w:p w:rsidR="007F42ED" w:rsidRDefault="007F42ED" w:rsidP="00EA50D0">
      <w:pPr>
        <w:spacing w:line="480" w:lineRule="auto"/>
      </w:pPr>
    </w:p>
    <w:p w:rsidR="00A11B34" w:rsidRDefault="00781130" w:rsidP="00814029">
      <w:pPr>
        <w:autoSpaceDE w:val="0"/>
        <w:autoSpaceDN w:val="0"/>
        <w:adjustRightInd w:val="0"/>
      </w:pPr>
      <w:r>
        <w:tab/>
      </w:r>
    </w:p>
    <w:p w:rsidR="004E5E8F" w:rsidRDefault="004E5E8F" w:rsidP="00EA50D0">
      <w:pPr>
        <w:spacing w:line="480" w:lineRule="auto"/>
      </w:pPr>
    </w:p>
    <w:p w:rsidR="004E5E8F" w:rsidRDefault="004E5E8F" w:rsidP="00EA50D0">
      <w:pPr>
        <w:spacing w:line="480" w:lineRule="auto"/>
      </w:pPr>
    </w:p>
    <w:p w:rsidR="004E5E8F" w:rsidRDefault="004E5E8F" w:rsidP="00EA50D0">
      <w:pPr>
        <w:spacing w:line="480" w:lineRule="auto"/>
      </w:pPr>
    </w:p>
    <w:p w:rsidR="004E5E8F" w:rsidRDefault="004E5E8F" w:rsidP="00EA50D0">
      <w:pPr>
        <w:spacing w:line="480" w:lineRule="auto"/>
      </w:pPr>
    </w:p>
    <w:p w:rsidR="004E5E8F" w:rsidRDefault="004E5E8F" w:rsidP="00EA50D0">
      <w:pPr>
        <w:spacing w:line="480" w:lineRule="auto"/>
      </w:pPr>
    </w:p>
    <w:p w:rsidR="004E5E8F" w:rsidRDefault="004E5E8F" w:rsidP="00EA50D0">
      <w:pPr>
        <w:spacing w:line="480" w:lineRule="auto"/>
      </w:pPr>
    </w:p>
    <w:p w:rsidR="0021621B" w:rsidRDefault="0021621B" w:rsidP="00EA50D0">
      <w:pPr>
        <w:spacing w:line="480" w:lineRule="auto"/>
      </w:pPr>
    </w:p>
    <w:p w:rsidR="0021621B" w:rsidRDefault="0021621B" w:rsidP="00EA50D0">
      <w:pPr>
        <w:spacing w:line="480" w:lineRule="auto"/>
      </w:pPr>
    </w:p>
    <w:p w:rsidR="0021621B" w:rsidRDefault="0021621B" w:rsidP="00156C86">
      <w:pPr>
        <w:spacing w:line="480" w:lineRule="auto"/>
        <w:ind w:left="720" w:hanging="720"/>
      </w:pPr>
      <w:r w:rsidRPr="0021621B">
        <w:t xml:space="preserve">Damron, B., Brant, J., Belansky, H., Friend, P., Samsonow, S., &amp; Schaal, A. (2009). </w:t>
      </w:r>
      <w:r w:rsidR="00814029" w:rsidRPr="0021621B">
        <w:t xml:space="preserve">Putting evidence into practice: </w:t>
      </w:r>
      <w:r w:rsidR="00814029">
        <w:t>Prev</w:t>
      </w:r>
      <w:r w:rsidR="00814029" w:rsidRPr="0021621B">
        <w:t>ention and m</w:t>
      </w:r>
      <w:r w:rsidR="00814029">
        <w:t>anagement of bleeding in patien</w:t>
      </w:r>
      <w:r w:rsidR="00814029" w:rsidRPr="0021621B">
        <w:t xml:space="preserve">ts with cancer. </w:t>
      </w:r>
      <w:r w:rsidRPr="0021621B">
        <w:rPr>
          <w:i/>
          <w:iCs/>
        </w:rPr>
        <w:t>Clinical Journal of Oncology Nursing</w:t>
      </w:r>
      <w:r w:rsidRPr="0021621B">
        <w:t xml:space="preserve">, </w:t>
      </w:r>
      <w:r w:rsidRPr="0021621B">
        <w:rPr>
          <w:i/>
          <w:iCs/>
        </w:rPr>
        <w:t>13</w:t>
      </w:r>
      <w:r w:rsidRPr="0021621B">
        <w:t>(5), doi: 10.1188/09.CJON.573-583</w:t>
      </w:r>
    </w:p>
    <w:p w:rsidR="00427674" w:rsidRDefault="00427674" w:rsidP="00156C86">
      <w:pPr>
        <w:spacing w:line="480" w:lineRule="auto"/>
        <w:ind w:left="720" w:hanging="720"/>
      </w:pPr>
      <w:r w:rsidRPr="00427674">
        <w:lastRenderedPageBreak/>
        <w:t xml:space="preserve">Montero, A., Estrov, Z., Freireich, E., Khouri, I., Koller, C., &amp; Kurzrock, R. (2006). Phase II study of low-dose interleukin-11 in patients with myelodysplastic syndrome. </w:t>
      </w:r>
      <w:r w:rsidRPr="00427674">
        <w:rPr>
          <w:i/>
          <w:iCs/>
        </w:rPr>
        <w:t>Leukemia &amp; Lymphoma</w:t>
      </w:r>
      <w:r w:rsidRPr="00427674">
        <w:t xml:space="preserve">, </w:t>
      </w:r>
      <w:r w:rsidRPr="00427674">
        <w:rPr>
          <w:i/>
          <w:iCs/>
        </w:rPr>
        <w:t>47</w:t>
      </w:r>
      <w:r w:rsidRPr="00427674">
        <w:t>(10), 2049-2054</w:t>
      </w:r>
    </w:p>
    <w:p w:rsidR="00294E3F" w:rsidRDefault="00294E3F" w:rsidP="00156C86">
      <w:pPr>
        <w:spacing w:line="480" w:lineRule="auto"/>
        <w:ind w:left="720" w:hanging="720"/>
      </w:pPr>
      <w:r w:rsidRPr="00294E3F">
        <w:t xml:space="preserve">Pieszak, S. (2011). Evidence-based interventions for the prevention of bleeding in patients with cancer. </w:t>
      </w:r>
      <w:r w:rsidRPr="00294E3F">
        <w:rPr>
          <w:i/>
          <w:iCs/>
        </w:rPr>
        <w:t>Oncology Nursing Society</w:t>
      </w:r>
      <w:r w:rsidRPr="00294E3F">
        <w:t xml:space="preserve">, </w:t>
      </w:r>
      <w:r w:rsidRPr="00294E3F">
        <w:rPr>
          <w:i/>
          <w:iCs/>
        </w:rPr>
        <w:t>6</w:t>
      </w:r>
      <w:r w:rsidRPr="00294E3F">
        <w:t xml:space="preserve">(8), Retrieved from </w:t>
      </w:r>
      <w:hyperlink r:id="rId7" w:history="1">
        <w:r w:rsidR="00DF7689" w:rsidRPr="00323062">
          <w:rPr>
            <w:rStyle w:val="Hyperlink"/>
          </w:rPr>
          <w:t>http://www.americannursetoday.com/article.aspx?id=8116&amp;fid=8078</w:t>
        </w:r>
      </w:hyperlink>
    </w:p>
    <w:p w:rsidR="00DF7689" w:rsidRDefault="00DF7689" w:rsidP="00156C86">
      <w:pPr>
        <w:spacing w:line="480" w:lineRule="auto"/>
        <w:ind w:left="720" w:hanging="720"/>
      </w:pPr>
      <w:r w:rsidRPr="00DF7689">
        <w:t xml:space="preserve">Ten Berg, M., van den Bemt, P., Shantakumar, S., Bennett, D., Voest, E., Huisman, A., &amp; ... Egberts, T. (2011). Thrombocytopenia in adult cancer patients receiving cytotoxic chemotherapy: results from a retrospective hospital-based cohort study. </w:t>
      </w:r>
      <w:r w:rsidRPr="00DF7689">
        <w:rPr>
          <w:i/>
          <w:iCs/>
        </w:rPr>
        <w:t>Drug Safety: An International Journal Of Medical Toxicology And Drug Experience</w:t>
      </w:r>
      <w:r w:rsidRPr="00DF7689">
        <w:t xml:space="preserve">, </w:t>
      </w:r>
      <w:r w:rsidRPr="00DF7689">
        <w:rPr>
          <w:i/>
          <w:iCs/>
        </w:rPr>
        <w:t>34</w:t>
      </w:r>
      <w:r w:rsidRPr="00DF7689">
        <w:t>(12), 1151-1160. doi:10.2165/11594310-000000000-00000</w:t>
      </w:r>
    </w:p>
    <w:sectPr w:rsidR="00DF7689" w:rsidSect="00EA50D0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AC" w:rsidRDefault="007839AC">
      <w:r>
        <w:separator/>
      </w:r>
    </w:p>
  </w:endnote>
  <w:endnote w:type="continuationSeparator" w:id="0">
    <w:p w:rsidR="007839AC" w:rsidRDefault="0078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AC" w:rsidRDefault="007839AC">
      <w:r>
        <w:separator/>
      </w:r>
    </w:p>
  </w:footnote>
  <w:footnote w:type="continuationSeparator" w:id="0">
    <w:p w:rsidR="007839AC" w:rsidRDefault="00783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69" w:rsidRDefault="00D16069" w:rsidP="00EA50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6069" w:rsidRDefault="00D16069" w:rsidP="00EA50D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69" w:rsidRDefault="00D16069" w:rsidP="00EA50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73DE">
      <w:rPr>
        <w:rStyle w:val="PageNumber"/>
        <w:noProof/>
      </w:rPr>
      <w:t>4</w:t>
    </w:r>
    <w:r>
      <w:rPr>
        <w:rStyle w:val="PageNumber"/>
      </w:rPr>
      <w:fldChar w:fldCharType="end"/>
    </w:r>
  </w:p>
  <w:p w:rsidR="00D16069" w:rsidRDefault="00D16069" w:rsidP="00EA50D0">
    <w:pPr>
      <w:pStyle w:val="Header"/>
      <w:ind w:right="360"/>
    </w:pPr>
    <w:r>
      <w:t>EVICENCE-BASED PRACTICE PAPER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69" w:rsidRDefault="00D16069" w:rsidP="00EA50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73DE">
      <w:rPr>
        <w:rStyle w:val="PageNumber"/>
        <w:noProof/>
      </w:rPr>
      <w:t>1</w:t>
    </w:r>
    <w:r>
      <w:rPr>
        <w:rStyle w:val="PageNumber"/>
      </w:rPr>
      <w:fldChar w:fldCharType="end"/>
    </w:r>
  </w:p>
  <w:p w:rsidR="00D16069" w:rsidRDefault="00D16069" w:rsidP="00EA50D0">
    <w:pPr>
      <w:pStyle w:val="Header"/>
      <w:ind w:right="360"/>
    </w:pPr>
    <w:r>
      <w:t>Running head: EVIDENCE-BASED PRACTICE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E0"/>
    <w:rsid w:val="00034BBB"/>
    <w:rsid w:val="00045AEB"/>
    <w:rsid w:val="00062815"/>
    <w:rsid w:val="00072FCD"/>
    <w:rsid w:val="000B48FD"/>
    <w:rsid w:val="000C22D7"/>
    <w:rsid w:val="00116605"/>
    <w:rsid w:val="001207A9"/>
    <w:rsid w:val="0012238E"/>
    <w:rsid w:val="0012660B"/>
    <w:rsid w:val="00130BEC"/>
    <w:rsid w:val="00132F65"/>
    <w:rsid w:val="00137244"/>
    <w:rsid w:val="00140F97"/>
    <w:rsid w:val="001441B9"/>
    <w:rsid w:val="00145355"/>
    <w:rsid w:val="00156C86"/>
    <w:rsid w:val="00174D47"/>
    <w:rsid w:val="00177C5A"/>
    <w:rsid w:val="001911E0"/>
    <w:rsid w:val="001A51CD"/>
    <w:rsid w:val="001B5F9C"/>
    <w:rsid w:val="001B644F"/>
    <w:rsid w:val="001D0305"/>
    <w:rsid w:val="001F4441"/>
    <w:rsid w:val="001F4997"/>
    <w:rsid w:val="0021621B"/>
    <w:rsid w:val="00260815"/>
    <w:rsid w:val="00260E77"/>
    <w:rsid w:val="00294E3F"/>
    <w:rsid w:val="002A01C6"/>
    <w:rsid w:val="002D3D81"/>
    <w:rsid w:val="00356F87"/>
    <w:rsid w:val="003969EA"/>
    <w:rsid w:val="003978BA"/>
    <w:rsid w:val="003B6921"/>
    <w:rsid w:val="003C26AE"/>
    <w:rsid w:val="00403590"/>
    <w:rsid w:val="004144E7"/>
    <w:rsid w:val="00426714"/>
    <w:rsid w:val="00427674"/>
    <w:rsid w:val="00444D01"/>
    <w:rsid w:val="004C29B3"/>
    <w:rsid w:val="004D4696"/>
    <w:rsid w:val="004D6C8D"/>
    <w:rsid w:val="004E5E8F"/>
    <w:rsid w:val="00503605"/>
    <w:rsid w:val="00510E84"/>
    <w:rsid w:val="00526259"/>
    <w:rsid w:val="005705B8"/>
    <w:rsid w:val="005B0873"/>
    <w:rsid w:val="005F3D78"/>
    <w:rsid w:val="00601276"/>
    <w:rsid w:val="00620C87"/>
    <w:rsid w:val="00621A32"/>
    <w:rsid w:val="00621F13"/>
    <w:rsid w:val="00623EE9"/>
    <w:rsid w:val="006245FE"/>
    <w:rsid w:val="00625F29"/>
    <w:rsid w:val="0062726D"/>
    <w:rsid w:val="0069770C"/>
    <w:rsid w:val="006A73DE"/>
    <w:rsid w:val="006B2521"/>
    <w:rsid w:val="006E11E8"/>
    <w:rsid w:val="00700830"/>
    <w:rsid w:val="00702080"/>
    <w:rsid w:val="007113F0"/>
    <w:rsid w:val="00721CDC"/>
    <w:rsid w:val="00781130"/>
    <w:rsid w:val="007839AC"/>
    <w:rsid w:val="007A26E0"/>
    <w:rsid w:val="007A520A"/>
    <w:rsid w:val="007F42ED"/>
    <w:rsid w:val="00814029"/>
    <w:rsid w:val="00836DDE"/>
    <w:rsid w:val="00854EF5"/>
    <w:rsid w:val="00867AB9"/>
    <w:rsid w:val="008A3442"/>
    <w:rsid w:val="008A6D06"/>
    <w:rsid w:val="008B22D2"/>
    <w:rsid w:val="008B3689"/>
    <w:rsid w:val="008D7A13"/>
    <w:rsid w:val="008F52C4"/>
    <w:rsid w:val="009026F2"/>
    <w:rsid w:val="00904C3F"/>
    <w:rsid w:val="009669B7"/>
    <w:rsid w:val="00966A06"/>
    <w:rsid w:val="00973E99"/>
    <w:rsid w:val="0097671A"/>
    <w:rsid w:val="00982870"/>
    <w:rsid w:val="009968F2"/>
    <w:rsid w:val="009A2E88"/>
    <w:rsid w:val="009B079F"/>
    <w:rsid w:val="009C3A36"/>
    <w:rsid w:val="009C57FB"/>
    <w:rsid w:val="009F3EC7"/>
    <w:rsid w:val="00A05009"/>
    <w:rsid w:val="00A11B34"/>
    <w:rsid w:val="00A14DD1"/>
    <w:rsid w:val="00A20E6E"/>
    <w:rsid w:val="00A31372"/>
    <w:rsid w:val="00A44AEA"/>
    <w:rsid w:val="00A6370A"/>
    <w:rsid w:val="00A64443"/>
    <w:rsid w:val="00AE7964"/>
    <w:rsid w:val="00AF3D3D"/>
    <w:rsid w:val="00AF572A"/>
    <w:rsid w:val="00AF67AD"/>
    <w:rsid w:val="00B402CD"/>
    <w:rsid w:val="00B427E2"/>
    <w:rsid w:val="00B5271C"/>
    <w:rsid w:val="00B748A8"/>
    <w:rsid w:val="00BC2B7A"/>
    <w:rsid w:val="00BC4659"/>
    <w:rsid w:val="00BE53C0"/>
    <w:rsid w:val="00C01C93"/>
    <w:rsid w:val="00C2538B"/>
    <w:rsid w:val="00C36E1C"/>
    <w:rsid w:val="00C44B48"/>
    <w:rsid w:val="00CA4C84"/>
    <w:rsid w:val="00CA6137"/>
    <w:rsid w:val="00CB6CC0"/>
    <w:rsid w:val="00CE5C98"/>
    <w:rsid w:val="00CE6951"/>
    <w:rsid w:val="00CF0779"/>
    <w:rsid w:val="00D16069"/>
    <w:rsid w:val="00D208FF"/>
    <w:rsid w:val="00D217D3"/>
    <w:rsid w:val="00D43BD0"/>
    <w:rsid w:val="00D65499"/>
    <w:rsid w:val="00DD4F24"/>
    <w:rsid w:val="00DE3AC5"/>
    <w:rsid w:val="00DE70F8"/>
    <w:rsid w:val="00DF7689"/>
    <w:rsid w:val="00E212CE"/>
    <w:rsid w:val="00E361C9"/>
    <w:rsid w:val="00E365DF"/>
    <w:rsid w:val="00E50412"/>
    <w:rsid w:val="00E62E5E"/>
    <w:rsid w:val="00E95CB8"/>
    <w:rsid w:val="00EA0DA2"/>
    <w:rsid w:val="00EA50D0"/>
    <w:rsid w:val="00EE1D48"/>
    <w:rsid w:val="00EE3AFE"/>
    <w:rsid w:val="00F1323D"/>
    <w:rsid w:val="00F241A1"/>
    <w:rsid w:val="00F975F5"/>
    <w:rsid w:val="00FB4D33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A5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50D0"/>
  </w:style>
  <w:style w:type="paragraph" w:styleId="Footer">
    <w:name w:val="footer"/>
    <w:basedOn w:val="Normal"/>
    <w:rsid w:val="00EA50D0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EA50D0"/>
  </w:style>
  <w:style w:type="character" w:styleId="Hyperlink">
    <w:name w:val="Hyperlink"/>
    <w:uiPriority w:val="99"/>
    <w:unhideWhenUsed/>
    <w:rsid w:val="00DF7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A5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50D0"/>
  </w:style>
  <w:style w:type="paragraph" w:styleId="Footer">
    <w:name w:val="footer"/>
    <w:basedOn w:val="Normal"/>
    <w:rsid w:val="00EA50D0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EA50D0"/>
  </w:style>
  <w:style w:type="character" w:styleId="Hyperlink">
    <w:name w:val="Hyperlink"/>
    <w:uiPriority w:val="99"/>
    <w:unhideWhenUsed/>
    <w:rsid w:val="00DF7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ericannursetoday.com/article.aspx?id=8116&amp;fid=807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Evidence-Based Practice Paper</vt:lpstr>
    </vt:vector>
  </TitlesOfParts>
  <Company>Dell</Company>
  <LinksUpToDate>false</LinksUpToDate>
  <CharactersWithSpaces>5615</CharactersWithSpaces>
  <SharedDoc>false</SharedDoc>
  <HLinks>
    <vt:vector size="6" baseType="variant">
      <vt:variant>
        <vt:i4>3276849</vt:i4>
      </vt:variant>
      <vt:variant>
        <vt:i4>0</vt:i4>
      </vt:variant>
      <vt:variant>
        <vt:i4>0</vt:i4>
      </vt:variant>
      <vt:variant>
        <vt:i4>5</vt:i4>
      </vt:variant>
      <vt:variant>
        <vt:lpwstr>http://www.americannursetoday.com/article.aspx?id=8116&amp;fid=8078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Evidence-Based Practice Paper</dc:title>
  <dc:creator>Preferred Customer</dc:creator>
  <cp:lastModifiedBy>R201-15</cp:lastModifiedBy>
  <cp:revision>2</cp:revision>
  <dcterms:created xsi:type="dcterms:W3CDTF">2012-07-26T21:02:00Z</dcterms:created>
  <dcterms:modified xsi:type="dcterms:W3CDTF">2012-07-26T21:02:00Z</dcterms:modified>
</cp:coreProperties>
</file>