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CB0" w:rsidRDefault="009A7CB0" w:rsidP="009A7CB0">
      <w:pPr>
        <w:pStyle w:val="APABody"/>
      </w:pPr>
    </w:p>
    <w:p w:rsidR="009A7CB0" w:rsidRDefault="009A7CB0" w:rsidP="009A7CB0">
      <w:pPr>
        <w:pStyle w:val="APABody"/>
      </w:pPr>
    </w:p>
    <w:p w:rsidR="009A7CB0" w:rsidRDefault="009A7CB0" w:rsidP="009A7CB0">
      <w:pPr>
        <w:pStyle w:val="APABody"/>
      </w:pPr>
    </w:p>
    <w:p w:rsidR="009A7CB0" w:rsidRDefault="009A7CB0" w:rsidP="009A7CB0">
      <w:pPr>
        <w:pStyle w:val="APABody"/>
      </w:pPr>
    </w:p>
    <w:p w:rsidR="009A7CB0" w:rsidRDefault="009A7CB0" w:rsidP="009A7CB0">
      <w:pPr>
        <w:pStyle w:val="APABody"/>
      </w:pPr>
    </w:p>
    <w:p w:rsidR="009A7CB0" w:rsidRDefault="009A7CB0" w:rsidP="009A7CB0">
      <w:pPr>
        <w:pStyle w:val="APABody"/>
      </w:pPr>
    </w:p>
    <w:p w:rsidR="009A7CB0" w:rsidRDefault="009A7CB0" w:rsidP="009A7CB0">
      <w:pPr>
        <w:pStyle w:val="APACenteredText"/>
      </w:pPr>
      <w:r>
        <w:t>Ethical Dilemmas in Futile Cardiopulmonary Resuscitation: Should It Be a Patient's Right or Doctor's Autonomy</w:t>
      </w:r>
    </w:p>
    <w:p w:rsidR="009A7CB0" w:rsidRDefault="009A7CB0" w:rsidP="009A7CB0">
      <w:pPr>
        <w:pStyle w:val="APACenteredText"/>
      </w:pPr>
      <w:r>
        <w:t>Lori A.Turner</w:t>
      </w:r>
    </w:p>
    <w:p w:rsidR="009A7CB0" w:rsidRDefault="009A7CB0" w:rsidP="009A7CB0">
      <w:pPr>
        <w:pStyle w:val="APACenteredText"/>
      </w:pPr>
      <w:r>
        <w:t>Lakeview College of Nursing</w:t>
      </w:r>
    </w:p>
    <w:p w:rsidR="009A7CB0" w:rsidRPr="00AF1F38" w:rsidRDefault="009A7CB0" w:rsidP="009A7CB0">
      <w:pPr>
        <w:pStyle w:val="APACenteredText"/>
        <w:rPr>
          <w:strike/>
        </w:rPr>
      </w:pPr>
      <w:r w:rsidRPr="00AF1F38">
        <w:rPr>
          <w:strike/>
        </w:rPr>
        <w:t>Lakeview College of Nursing</w:t>
      </w:r>
    </w:p>
    <w:p w:rsidR="009A7CB0" w:rsidRDefault="009A7CB0" w:rsidP="009A7CB0">
      <w:pPr>
        <w:pStyle w:val="APACenteredText"/>
      </w:pPr>
      <w:r>
        <w:t>Nursing Ethics RN407</w:t>
      </w:r>
    </w:p>
    <w:p w:rsidR="009A7CB0" w:rsidRDefault="009A7CB0" w:rsidP="009A7CB0">
      <w:pPr>
        <w:pStyle w:val="APACenteredText"/>
      </w:pPr>
      <w:r>
        <w:t>Fall 2011</w:t>
      </w:r>
    </w:p>
    <w:p w:rsidR="009A7CB0" w:rsidRDefault="009A7CB0" w:rsidP="009A7CB0">
      <w:pPr>
        <w:pStyle w:val="APABody"/>
      </w:pPr>
      <w:r>
        <w:br w:type="page"/>
      </w:r>
    </w:p>
    <w:p w:rsidR="009A7CB0" w:rsidRDefault="009A7CB0" w:rsidP="009A7CB0">
      <w:pPr>
        <w:pStyle w:val="APACenteredText"/>
      </w:pPr>
      <w:r>
        <w:lastRenderedPageBreak/>
        <w:t>Ethical Dilemmas in Futile Cardiopulmonary Resuscitation: Should It Be a Patient's Right or Doctor's Autonomy</w:t>
      </w:r>
    </w:p>
    <w:p w:rsidR="0094189A" w:rsidRDefault="002D4237" w:rsidP="006D6DD7">
      <w:pPr>
        <w:pStyle w:val="APABody"/>
        <w:rPr>
          <w:lang/>
        </w:rPr>
      </w:pPr>
      <w:r>
        <w:t>Cardiopulmonary resuscitation (CPR</w:t>
      </w:r>
      <w:r w:rsidR="00C84DF8">
        <w:t>) is</w:t>
      </w:r>
      <w:r>
        <w:t xml:space="preserve"> defined as </w:t>
      </w:r>
      <w:r w:rsidR="00C558E8">
        <w:rPr>
          <w:color w:val="0070C0"/>
        </w:rPr>
        <w:t>“</w:t>
      </w:r>
      <w:r>
        <w:t>the restoration of cardiac output and pulmonary ventilation following cardiac arrest and apnea, using artificial respiration and manual closed-chest compression or open-chest cardiac massage</w:t>
      </w:r>
      <w:r w:rsidR="00C558E8">
        <w:rPr>
          <w:color w:val="0070C0"/>
        </w:rPr>
        <w:t>”</w:t>
      </w:r>
      <w:r>
        <w:t xml:space="preserve"> (</w:t>
      </w:r>
      <w:r w:rsidRPr="002D4237">
        <w:rPr>
          <w:lang/>
        </w:rPr>
        <w:t>Stedman’s Medical Dictionary</w:t>
      </w:r>
      <w:r w:rsidR="00C558E8">
        <w:rPr>
          <w:color w:val="0070C0"/>
          <w:lang/>
        </w:rPr>
        <w:t>,</w:t>
      </w:r>
      <w:r>
        <w:rPr>
          <w:lang/>
        </w:rPr>
        <w:t xml:space="preserve"> 2006</w:t>
      </w:r>
      <w:r w:rsidR="00C558E8">
        <w:rPr>
          <w:color w:val="0070C0"/>
          <w:lang/>
        </w:rPr>
        <w:t>, CPR</w:t>
      </w:r>
      <w:r>
        <w:rPr>
          <w:lang/>
        </w:rPr>
        <w:t>).</w:t>
      </w:r>
      <w:r w:rsidR="00C84DF8">
        <w:rPr>
          <w:lang/>
        </w:rPr>
        <w:t xml:space="preserve">  According to Bishop, Brothers, Perry, and Ahmad (2010), the history of cardiopulmonary resuscitation (CPR) began after a series of articles were written in the </w:t>
      </w:r>
      <w:commentRangeStart w:id="0"/>
      <w:r w:rsidR="00C84DF8">
        <w:rPr>
          <w:lang/>
        </w:rPr>
        <w:t>1950’s and 1960’s</w:t>
      </w:r>
      <w:r w:rsidR="00E3705D">
        <w:rPr>
          <w:lang/>
        </w:rPr>
        <w:t xml:space="preserve"> </w:t>
      </w:r>
      <w:commentRangeEnd w:id="0"/>
      <w:r w:rsidR="00C558E8">
        <w:rPr>
          <w:rStyle w:val="CommentReference"/>
        </w:rPr>
        <w:commentReference w:id="0"/>
      </w:r>
      <w:r w:rsidR="00E3705D">
        <w:rPr>
          <w:lang/>
        </w:rPr>
        <w:t xml:space="preserve">that </w:t>
      </w:r>
      <w:r w:rsidR="005773F1">
        <w:rPr>
          <w:color w:val="0070C0"/>
          <w:lang/>
        </w:rPr>
        <w:t>“</w:t>
      </w:r>
      <w:r w:rsidR="00E3705D">
        <w:rPr>
          <w:lang/>
        </w:rPr>
        <w:t>forged the scientific basis for</w:t>
      </w:r>
      <w:r w:rsidR="005773F1">
        <w:rPr>
          <w:color w:val="0070C0"/>
          <w:lang/>
        </w:rPr>
        <w:t xml:space="preserve"> [our current practices of]</w:t>
      </w:r>
      <w:r w:rsidR="00E3705D">
        <w:rPr>
          <w:lang/>
        </w:rPr>
        <w:t xml:space="preserve"> CPR</w:t>
      </w:r>
      <w:r w:rsidR="005773F1">
        <w:rPr>
          <w:color w:val="0070C0"/>
          <w:lang/>
        </w:rPr>
        <w:t>” (p. 61)</w:t>
      </w:r>
      <w:r w:rsidR="00C84DF8">
        <w:rPr>
          <w:lang/>
        </w:rPr>
        <w:t>.  Initially</w:t>
      </w:r>
      <w:r w:rsidR="00347E90">
        <w:rPr>
          <w:lang/>
        </w:rPr>
        <w:t>,</w:t>
      </w:r>
      <w:r w:rsidR="00C84DF8">
        <w:rPr>
          <w:lang/>
        </w:rPr>
        <w:t xml:space="preserve"> CPR found the greatest reception intra-operative</w:t>
      </w:r>
      <w:r w:rsidR="005773F1">
        <w:rPr>
          <w:color w:val="0070C0"/>
          <w:lang/>
        </w:rPr>
        <w:t>ly</w:t>
      </w:r>
      <w:r w:rsidR="00C84DF8">
        <w:rPr>
          <w:lang/>
        </w:rPr>
        <w:t xml:space="preserve"> and </w:t>
      </w:r>
      <w:r w:rsidR="00C84DF8" w:rsidRPr="005773F1">
        <w:rPr>
          <w:color w:val="0070C0"/>
          <w:lang/>
        </w:rPr>
        <w:t>post</w:t>
      </w:r>
      <w:r w:rsidR="005773F1">
        <w:rPr>
          <w:color w:val="0070C0"/>
          <w:lang/>
        </w:rPr>
        <w:t>-</w:t>
      </w:r>
      <w:r w:rsidR="00C84DF8" w:rsidRPr="005773F1">
        <w:rPr>
          <w:color w:val="0070C0"/>
          <w:lang/>
        </w:rPr>
        <w:t>operative</w:t>
      </w:r>
      <w:r w:rsidR="005773F1">
        <w:rPr>
          <w:color w:val="0070C0"/>
          <w:lang/>
        </w:rPr>
        <w:t>ly</w:t>
      </w:r>
      <w:r w:rsidR="00347E90">
        <w:rPr>
          <w:lang/>
        </w:rPr>
        <w:t xml:space="preserve"> allowing surgeons to keep patients from dying </w:t>
      </w:r>
      <w:r w:rsidR="00347E90" w:rsidRPr="005773F1">
        <w:rPr>
          <w:strike/>
          <w:lang/>
        </w:rPr>
        <w:t>in surgery</w:t>
      </w:r>
      <w:r w:rsidR="00347E90">
        <w:rPr>
          <w:lang/>
        </w:rPr>
        <w:t xml:space="preserve"> from the stress of surgery, blood loss, anesthesia, and medications.</w:t>
      </w:r>
      <w:r w:rsidR="00C84DF8">
        <w:rPr>
          <w:lang/>
        </w:rPr>
        <w:t xml:space="preserve"> </w:t>
      </w:r>
      <w:r w:rsidR="00347E90">
        <w:rPr>
          <w:lang/>
        </w:rPr>
        <w:t>Soon, CPR became the technique utilized in hospitals and beyond (Bishop</w:t>
      </w:r>
      <w:r w:rsidR="005773F1">
        <w:rPr>
          <w:color w:val="0070C0"/>
          <w:lang/>
        </w:rPr>
        <w:t>,</w:t>
      </w:r>
      <w:r w:rsidR="00347E90">
        <w:rPr>
          <w:lang/>
        </w:rPr>
        <w:t xml:space="preserve"> et al. 2010).</w:t>
      </w:r>
      <w:r w:rsidR="00A600D9">
        <w:rPr>
          <w:lang/>
        </w:rPr>
        <w:t xml:space="preserve">  </w:t>
      </w:r>
      <w:r w:rsidR="005773F1">
        <w:rPr>
          <w:color w:val="0070C0"/>
          <w:lang/>
        </w:rPr>
        <w:t xml:space="preserve">Be careful when paraphrasing your sources. Changing a word or two within the sentence is not paraphrasing. </w:t>
      </w:r>
      <w:r w:rsidR="00A600D9">
        <w:rPr>
          <w:lang/>
        </w:rPr>
        <w:t>The use of CPR has become the accepted and expected practice in society when a p</w:t>
      </w:r>
      <w:r w:rsidR="00465A6A">
        <w:rPr>
          <w:lang/>
        </w:rPr>
        <w:t>atient is found unresponsive no</w:t>
      </w:r>
      <w:r w:rsidR="00A600D9">
        <w:rPr>
          <w:lang/>
        </w:rPr>
        <w:t xml:space="preserve"> matter the underlying condition of the patient.  Even </w:t>
      </w:r>
      <w:r w:rsidR="00A600D9" w:rsidRPr="00302F9D">
        <w:rPr>
          <w:color w:val="0070C0"/>
          <w:lang/>
        </w:rPr>
        <w:t>non</w:t>
      </w:r>
      <w:r w:rsidR="00302F9D">
        <w:rPr>
          <w:color w:val="0070C0"/>
          <w:lang/>
        </w:rPr>
        <w:t>-</w:t>
      </w:r>
      <w:r w:rsidR="00A600D9" w:rsidRPr="00302F9D">
        <w:rPr>
          <w:color w:val="0070C0"/>
          <w:lang/>
        </w:rPr>
        <w:t>medical</w:t>
      </w:r>
      <w:r w:rsidR="00A600D9">
        <w:rPr>
          <w:lang/>
        </w:rPr>
        <w:t xml:space="preserve"> citizens have been encouraged to learn CPR and respond with automatic </w:t>
      </w:r>
      <w:r w:rsidR="006D6DD7">
        <w:rPr>
          <w:lang/>
        </w:rPr>
        <w:t xml:space="preserve">defibrillators. </w:t>
      </w:r>
    </w:p>
    <w:p w:rsidR="006D6DD7" w:rsidRDefault="006D6DD7" w:rsidP="006D6DD7">
      <w:pPr>
        <w:pStyle w:val="APABody"/>
        <w:rPr>
          <w:lang/>
        </w:rPr>
      </w:pPr>
      <w:r>
        <w:rPr>
          <w:lang/>
        </w:rPr>
        <w:t>But what does a person do when a patient has an incurable illness and has a cardiac arrest?</w:t>
      </w:r>
      <w:r w:rsidR="0035310A">
        <w:rPr>
          <w:lang/>
        </w:rPr>
        <w:t xml:space="preserve">  Is it appropriate to give CPR to medically futile patients?  Does society view it acceptable to withhold CPR to a medically futile patient?</w:t>
      </w:r>
    </w:p>
    <w:p w:rsidR="00040B87" w:rsidRDefault="00302F9D" w:rsidP="00C57055">
      <w:pPr>
        <w:pStyle w:val="APABody"/>
        <w:rPr>
          <w:lang/>
        </w:rPr>
      </w:pPr>
      <w:r>
        <w:rPr>
          <w:color w:val="0070C0"/>
          <w:lang/>
        </w:rPr>
        <w:t>“</w:t>
      </w:r>
      <w:r w:rsidR="006D6DD7">
        <w:rPr>
          <w:lang/>
        </w:rPr>
        <w:t>Medical futility is often defined as providing inappropriate treatments that will not improve disease prognosis, alleviate physiological symptoms, or prolong survival</w:t>
      </w:r>
      <w:r>
        <w:rPr>
          <w:color w:val="0070C0"/>
          <w:lang/>
        </w:rPr>
        <w:t>”</w:t>
      </w:r>
      <w:r w:rsidR="006D6DD7">
        <w:rPr>
          <w:lang/>
        </w:rPr>
        <w:t xml:space="preserve"> (Mohammed &amp; Peter, 2009</w:t>
      </w:r>
      <w:r>
        <w:rPr>
          <w:color w:val="0070C0"/>
          <w:lang/>
        </w:rPr>
        <w:t>, p. 495</w:t>
      </w:r>
      <w:r w:rsidR="006D6DD7">
        <w:rPr>
          <w:lang/>
        </w:rPr>
        <w:t>).</w:t>
      </w:r>
      <w:r w:rsidR="0094189A">
        <w:rPr>
          <w:lang/>
        </w:rPr>
        <w:t xml:space="preserve"> According to the American Heart Association </w:t>
      </w:r>
      <w:r w:rsidR="005B49D6">
        <w:rPr>
          <w:lang/>
        </w:rPr>
        <w:t>(AHA) (</w:t>
      </w:r>
      <w:r w:rsidR="0094189A">
        <w:rPr>
          <w:lang/>
        </w:rPr>
        <w:t>as cited by Berger, 2010),</w:t>
      </w:r>
      <w:r w:rsidR="005B49D6">
        <w:rPr>
          <w:lang/>
        </w:rPr>
        <w:t xml:space="preserve"> “Patients or families may ask physicians to provide care that is inappropriate.  Physicians, however, are not obliged to provide such care when there is scientific and social consensus that </w:t>
      </w:r>
      <w:r w:rsidR="005B49D6">
        <w:rPr>
          <w:lang/>
        </w:rPr>
        <w:lastRenderedPageBreak/>
        <w:t xml:space="preserve">the treatment is ineffective. An example is CPR for patients with signs of irreversible </w:t>
      </w:r>
      <w:commentRangeStart w:id="1"/>
      <w:r w:rsidR="005B49D6">
        <w:rPr>
          <w:lang/>
        </w:rPr>
        <w:t>death</w:t>
      </w:r>
      <w:commentRangeEnd w:id="1"/>
      <w:r>
        <w:rPr>
          <w:rStyle w:val="CommentReference"/>
        </w:rPr>
        <w:commentReference w:id="1"/>
      </w:r>
      <w:r>
        <w:rPr>
          <w:color w:val="0070C0"/>
          <w:lang/>
        </w:rPr>
        <w:t xml:space="preserve"> (p. ?)</w:t>
      </w:r>
      <w:r w:rsidR="005B49D6">
        <w:rPr>
          <w:lang/>
        </w:rPr>
        <w:t xml:space="preserve">.”  The AHA </w:t>
      </w:r>
      <w:r w:rsidR="0097300A">
        <w:rPr>
          <w:lang/>
        </w:rPr>
        <w:t xml:space="preserve">also </w:t>
      </w:r>
      <w:commentRangeStart w:id="2"/>
      <w:r w:rsidR="005B49D6">
        <w:rPr>
          <w:lang/>
        </w:rPr>
        <w:t xml:space="preserve">states </w:t>
      </w:r>
      <w:commentRangeEnd w:id="2"/>
      <w:r w:rsidR="00304CD3">
        <w:rPr>
          <w:rStyle w:val="CommentReference"/>
        </w:rPr>
        <w:commentReference w:id="2"/>
      </w:r>
      <w:r w:rsidR="005B49D6">
        <w:rPr>
          <w:lang/>
        </w:rPr>
        <w:t xml:space="preserve">the goals of CPR are “to preserve life, restore health, relieve suffering, limit </w:t>
      </w:r>
      <w:r w:rsidR="00465A6A">
        <w:rPr>
          <w:lang/>
        </w:rPr>
        <w:t>disability, and to reverse clinical death” (as cited by Berger, 2010</w:t>
      </w:r>
      <w:r w:rsidR="00304CD3">
        <w:rPr>
          <w:color w:val="0070C0"/>
          <w:lang/>
        </w:rPr>
        <w:t>, p. ?</w:t>
      </w:r>
      <w:r w:rsidR="00465A6A">
        <w:rPr>
          <w:lang/>
        </w:rPr>
        <w:t xml:space="preserve">).  Studies have shown </w:t>
      </w:r>
      <w:r w:rsidR="00304CD3">
        <w:rPr>
          <w:color w:val="0070C0"/>
          <w:lang/>
        </w:rPr>
        <w:t>“</w:t>
      </w:r>
      <w:r w:rsidR="00465A6A">
        <w:rPr>
          <w:lang/>
        </w:rPr>
        <w:t>after about 10 minutes of CPR, the likelihood of permanent neurological injury rises quickly</w:t>
      </w:r>
      <w:r w:rsidR="00DC13DB">
        <w:rPr>
          <w:lang/>
        </w:rPr>
        <w:t xml:space="preserve"> </w:t>
      </w:r>
      <w:r w:rsidR="00304CD3">
        <w:rPr>
          <w:color w:val="0070C0"/>
          <w:lang/>
        </w:rPr>
        <w:t>[</w:t>
      </w:r>
      <w:r w:rsidR="00DC13DB">
        <w:rPr>
          <w:lang/>
        </w:rPr>
        <w:t>and</w:t>
      </w:r>
      <w:r w:rsidR="00304CD3">
        <w:rPr>
          <w:color w:val="0070C0"/>
          <w:lang/>
        </w:rPr>
        <w:t>]</w:t>
      </w:r>
      <w:r w:rsidR="00DC13DB">
        <w:rPr>
          <w:lang/>
        </w:rPr>
        <w:t xml:space="preserve"> continued resuscitative efforts for up to 30 minutes may result in a </w:t>
      </w:r>
      <w:commentRangeStart w:id="3"/>
      <w:r w:rsidR="00DC13DB">
        <w:rPr>
          <w:lang/>
        </w:rPr>
        <w:t>reversible clinic death</w:t>
      </w:r>
      <w:commentRangeEnd w:id="3"/>
      <w:r w:rsidR="00304CD3">
        <w:rPr>
          <w:rStyle w:val="CommentReference"/>
        </w:rPr>
        <w:commentReference w:id="3"/>
      </w:r>
      <w:r w:rsidR="00304CD3">
        <w:rPr>
          <w:color w:val="0070C0"/>
          <w:lang/>
        </w:rPr>
        <w:t>”</w:t>
      </w:r>
      <w:r w:rsidR="00DC13DB">
        <w:rPr>
          <w:lang/>
        </w:rPr>
        <w:t xml:space="preserve"> with neurological disabilities (Berger, 2010</w:t>
      </w:r>
      <w:r w:rsidR="00304CD3">
        <w:rPr>
          <w:color w:val="0070C0"/>
          <w:lang/>
        </w:rPr>
        <w:t>, p. 68</w:t>
      </w:r>
      <w:r w:rsidR="00DC13DB">
        <w:rPr>
          <w:lang/>
        </w:rPr>
        <w:t>).</w:t>
      </w:r>
      <w:r w:rsidR="00122993">
        <w:rPr>
          <w:lang/>
        </w:rPr>
        <w:t xml:space="preserve">  This brings about the principles of beneficence</w:t>
      </w:r>
      <w:r w:rsidR="00A50107">
        <w:rPr>
          <w:lang/>
        </w:rPr>
        <w:t>,</w:t>
      </w:r>
      <w:r w:rsidR="00122993">
        <w:rPr>
          <w:lang/>
        </w:rPr>
        <w:t xml:space="preserve"> consisting of mercy, kindness</w:t>
      </w:r>
      <w:r w:rsidR="00304CD3">
        <w:rPr>
          <w:color w:val="0070C0"/>
          <w:lang/>
        </w:rPr>
        <w:t>,</w:t>
      </w:r>
      <w:r w:rsidR="00122993">
        <w:rPr>
          <w:lang/>
        </w:rPr>
        <w:t xml:space="preserve"> and charity and nonmaleficence</w:t>
      </w:r>
      <w:r w:rsidR="00A50107">
        <w:rPr>
          <w:lang/>
        </w:rPr>
        <w:t>,</w:t>
      </w:r>
      <w:r w:rsidR="00122993">
        <w:rPr>
          <w:lang/>
        </w:rPr>
        <w:t xml:space="preserve"> the obligation to do no harm</w:t>
      </w:r>
      <w:r w:rsidR="00A50107">
        <w:rPr>
          <w:lang/>
        </w:rPr>
        <w:t xml:space="preserve"> (Butts &amp; Rich, 2008)</w:t>
      </w:r>
      <w:r w:rsidR="00122993">
        <w:rPr>
          <w:lang/>
        </w:rPr>
        <w:t xml:space="preserve">.  </w:t>
      </w:r>
      <w:r w:rsidR="00C57055">
        <w:rPr>
          <w:lang/>
        </w:rPr>
        <w:t xml:space="preserve">CPR is a brutal assault on the patient.  </w:t>
      </w:r>
      <w:r w:rsidR="00122993">
        <w:rPr>
          <w:lang/>
        </w:rPr>
        <w:t>However, the patient has the right to practice autonomy and may request to have “everything done” in an effort to save his or her life.</w:t>
      </w:r>
      <w:r w:rsidR="00404F01">
        <w:rPr>
          <w:lang/>
        </w:rPr>
        <w:t xml:space="preserve">  Mohammed and Peter (2009) point</w:t>
      </w:r>
      <w:r w:rsidR="002C77D8">
        <w:rPr>
          <w:color w:val="0070C0"/>
          <w:lang/>
        </w:rPr>
        <w:t>ed</w:t>
      </w:r>
      <w:r w:rsidR="00404F01">
        <w:rPr>
          <w:lang/>
        </w:rPr>
        <w:t xml:space="preserve"> out </w:t>
      </w:r>
      <w:r w:rsidR="00685646">
        <w:rPr>
          <w:color w:val="0070C0"/>
          <w:lang/>
        </w:rPr>
        <w:t>“</w:t>
      </w:r>
      <w:r w:rsidR="00404F01">
        <w:rPr>
          <w:lang/>
        </w:rPr>
        <w:t>the shift from paternalistic approaches to treatment decision</w:t>
      </w:r>
      <w:r w:rsidR="00685646">
        <w:rPr>
          <w:lang/>
        </w:rPr>
        <w:t xml:space="preserve"> </w:t>
      </w:r>
      <w:r w:rsidR="00404F01">
        <w:rPr>
          <w:lang/>
        </w:rPr>
        <w:t>making toward</w:t>
      </w:r>
      <w:r w:rsidR="00404F01" w:rsidRPr="00685646">
        <w:rPr>
          <w:lang/>
        </w:rPr>
        <w:t>s</w:t>
      </w:r>
      <w:r w:rsidR="00404F01">
        <w:rPr>
          <w:lang/>
        </w:rPr>
        <w:t xml:space="preserve"> patient autonomy models have allowed patient and families to request often aggressive treatments, even for incurable illnesses</w:t>
      </w:r>
      <w:r w:rsidR="00685646">
        <w:rPr>
          <w:color w:val="0070C0"/>
          <w:lang/>
        </w:rPr>
        <w:t>” (p. 292)</w:t>
      </w:r>
      <w:r w:rsidR="00404F01">
        <w:rPr>
          <w:lang/>
        </w:rPr>
        <w:t>.</w:t>
      </w:r>
      <w:r w:rsidR="00C57055">
        <w:rPr>
          <w:lang/>
        </w:rPr>
        <w:t xml:space="preserve"> </w:t>
      </w:r>
    </w:p>
    <w:p w:rsidR="00404F01" w:rsidRDefault="00C57055" w:rsidP="00C57055">
      <w:pPr>
        <w:pStyle w:val="APABody"/>
        <w:rPr>
          <w:lang/>
        </w:rPr>
      </w:pPr>
      <w:r>
        <w:rPr>
          <w:lang/>
        </w:rPr>
        <w:t xml:space="preserve"> </w:t>
      </w:r>
      <w:r w:rsidR="00685646">
        <w:rPr>
          <w:color w:val="0070C0"/>
          <w:lang/>
        </w:rPr>
        <w:t>“</w:t>
      </w:r>
      <w:r>
        <w:rPr>
          <w:lang/>
        </w:rPr>
        <w:t xml:space="preserve">Aggressive care </w:t>
      </w:r>
      <w:r w:rsidRPr="00685646">
        <w:rPr>
          <w:lang/>
        </w:rPr>
        <w:t>often times</w:t>
      </w:r>
      <w:r>
        <w:rPr>
          <w:lang/>
        </w:rPr>
        <w:t xml:space="preserve"> can be viewed as inhumane and cruel, may not be in the best interest of the patient, </w:t>
      </w:r>
      <w:r w:rsidR="00685646">
        <w:rPr>
          <w:color w:val="0070C0"/>
          <w:lang/>
        </w:rPr>
        <w:t>[</w:t>
      </w:r>
      <w:r>
        <w:rPr>
          <w:lang/>
        </w:rPr>
        <w:t>and</w:t>
      </w:r>
      <w:r w:rsidR="00685646">
        <w:rPr>
          <w:color w:val="0070C0"/>
          <w:lang/>
        </w:rPr>
        <w:t>]</w:t>
      </w:r>
      <w:r>
        <w:rPr>
          <w:lang/>
        </w:rPr>
        <w:t xml:space="preserve"> does not preserve the moral interest of health care</w:t>
      </w:r>
      <w:r w:rsidR="005158E7">
        <w:rPr>
          <w:color w:val="0070C0"/>
          <w:lang/>
        </w:rPr>
        <w:t>”</w:t>
      </w:r>
      <w:r>
        <w:rPr>
          <w:lang/>
        </w:rPr>
        <w:t xml:space="preserve"> (Mohammed &amp; Peter, 2009</w:t>
      </w:r>
      <w:r w:rsidR="005158E7">
        <w:rPr>
          <w:color w:val="0070C0"/>
          <w:lang/>
        </w:rPr>
        <w:t xml:space="preserve"> p. ?</w:t>
      </w:r>
      <w:r>
        <w:rPr>
          <w:lang/>
        </w:rPr>
        <w:t xml:space="preserve">). </w:t>
      </w:r>
      <w:r w:rsidR="00404F01">
        <w:rPr>
          <w:lang/>
        </w:rPr>
        <w:t xml:space="preserve">This directly affects the physicians, nurses, the patient, and family members. </w:t>
      </w:r>
      <w:r w:rsidR="00E01A91">
        <w:rPr>
          <w:lang/>
        </w:rPr>
        <w:t xml:space="preserve">  This is especially true of nurses who spend much of their time providing care to these patients.  It can cause a high degree </w:t>
      </w:r>
      <w:commentRangeStart w:id="4"/>
      <w:r w:rsidR="00E01A91">
        <w:rPr>
          <w:lang/>
        </w:rPr>
        <w:t>on</w:t>
      </w:r>
      <w:commentRangeEnd w:id="4"/>
      <w:r w:rsidR="00B74EED">
        <w:rPr>
          <w:rStyle w:val="CommentReference"/>
        </w:rPr>
        <w:commentReference w:id="4"/>
      </w:r>
      <w:r w:rsidR="00E01A91">
        <w:rPr>
          <w:lang/>
        </w:rPr>
        <w:t xml:space="preserve"> personal distress with the nurses as they observe the </w:t>
      </w:r>
      <w:r w:rsidR="00E01A91" w:rsidRPr="00B74EED">
        <w:rPr>
          <w:color w:val="0070C0"/>
          <w:lang/>
        </w:rPr>
        <w:t>patient</w:t>
      </w:r>
      <w:r w:rsidR="00B74EED">
        <w:rPr>
          <w:color w:val="0070C0"/>
          <w:lang/>
        </w:rPr>
        <w:t>’</w:t>
      </w:r>
      <w:r w:rsidR="00E01A91" w:rsidRPr="00B74EED">
        <w:rPr>
          <w:color w:val="0070C0"/>
          <w:lang/>
        </w:rPr>
        <w:t>s</w:t>
      </w:r>
      <w:r w:rsidR="00E01A91">
        <w:rPr>
          <w:lang/>
        </w:rPr>
        <w:t xml:space="preserve"> suffer</w:t>
      </w:r>
      <w:r w:rsidR="00040B87">
        <w:rPr>
          <w:lang/>
        </w:rPr>
        <w:t>ing</w:t>
      </w:r>
      <w:r w:rsidR="00E01A91">
        <w:rPr>
          <w:lang/>
        </w:rPr>
        <w:t>.</w:t>
      </w:r>
      <w:r w:rsidR="00A50107">
        <w:rPr>
          <w:lang/>
        </w:rPr>
        <w:t xml:space="preserve">  The doctors may feel they have lost their ability to practice </w:t>
      </w:r>
      <w:commentRangeStart w:id="5"/>
      <w:r w:rsidR="00A50107">
        <w:rPr>
          <w:lang/>
        </w:rPr>
        <w:t>in autonomy</w:t>
      </w:r>
      <w:r w:rsidR="001013BD">
        <w:rPr>
          <w:lang/>
        </w:rPr>
        <w:t>;</w:t>
      </w:r>
      <w:r w:rsidR="00A50107">
        <w:rPr>
          <w:lang/>
        </w:rPr>
        <w:t xml:space="preserve"> </w:t>
      </w:r>
      <w:commentRangeEnd w:id="5"/>
      <w:r w:rsidR="00B74EED">
        <w:rPr>
          <w:rStyle w:val="CommentReference"/>
        </w:rPr>
        <w:commentReference w:id="5"/>
      </w:r>
      <w:r w:rsidR="00A50107">
        <w:rPr>
          <w:lang/>
        </w:rPr>
        <w:t>to make medical decisions that are to the patient’s best interest.  Physicians may feel as if they have lost their authority due to the patient’s and family</w:t>
      </w:r>
      <w:r w:rsidR="00B74EED">
        <w:rPr>
          <w:color w:val="0070C0"/>
          <w:lang/>
        </w:rPr>
        <w:t>’s</w:t>
      </w:r>
      <w:r w:rsidR="00A50107">
        <w:rPr>
          <w:lang/>
        </w:rPr>
        <w:t xml:space="preserve"> expectations</w:t>
      </w:r>
      <w:commentRangeStart w:id="6"/>
      <w:r w:rsidR="00A50107">
        <w:rPr>
          <w:lang/>
        </w:rPr>
        <w:t xml:space="preserve">, </w:t>
      </w:r>
      <w:commentRangeEnd w:id="6"/>
      <w:r w:rsidR="002B48B5">
        <w:rPr>
          <w:rStyle w:val="CommentReference"/>
        </w:rPr>
        <w:commentReference w:id="6"/>
      </w:r>
      <w:r w:rsidR="00A50107">
        <w:rPr>
          <w:lang/>
        </w:rPr>
        <w:t xml:space="preserve">as well as legal liability concerns. The physician may </w:t>
      </w:r>
      <w:r w:rsidR="00AE1614">
        <w:rPr>
          <w:lang/>
        </w:rPr>
        <w:t xml:space="preserve">also </w:t>
      </w:r>
      <w:r w:rsidR="00A50107">
        <w:rPr>
          <w:lang/>
        </w:rPr>
        <w:t>feel p</w:t>
      </w:r>
      <w:r w:rsidR="003117AA">
        <w:rPr>
          <w:lang/>
        </w:rPr>
        <w:t>ressured by the family to provide medical treatments</w:t>
      </w:r>
      <w:r w:rsidR="00A50107">
        <w:rPr>
          <w:lang/>
        </w:rPr>
        <w:t xml:space="preserve"> that are deemed unreasonable </w:t>
      </w:r>
      <w:commentRangeStart w:id="7"/>
      <w:r w:rsidR="00A50107">
        <w:rPr>
          <w:lang/>
        </w:rPr>
        <w:t>b</w:t>
      </w:r>
      <w:r w:rsidR="003117AA">
        <w:rPr>
          <w:lang/>
        </w:rPr>
        <w:t>ased on</w:t>
      </w:r>
      <w:commentRangeEnd w:id="7"/>
      <w:r w:rsidR="00B74EED">
        <w:rPr>
          <w:rStyle w:val="CommentReference"/>
        </w:rPr>
        <w:commentReference w:id="7"/>
      </w:r>
      <w:r w:rsidR="00A50107">
        <w:rPr>
          <w:lang/>
        </w:rPr>
        <w:t xml:space="preserve"> the risks involved do not justify the benefits.</w:t>
      </w:r>
    </w:p>
    <w:p w:rsidR="006D2FE2" w:rsidRPr="00B74EED" w:rsidRDefault="001013BD" w:rsidP="00C57055">
      <w:pPr>
        <w:pStyle w:val="APABody"/>
        <w:rPr>
          <w:color w:val="0070C0"/>
          <w:lang/>
        </w:rPr>
      </w:pPr>
      <w:r>
        <w:rPr>
          <w:lang/>
        </w:rPr>
        <w:lastRenderedPageBreak/>
        <w:t>On the other hand, Bremer and Sandman (2011) argue</w:t>
      </w:r>
      <w:r w:rsidR="00B74EED">
        <w:rPr>
          <w:color w:val="0070C0"/>
          <w:lang/>
        </w:rPr>
        <w:t>d</w:t>
      </w:r>
      <w:r>
        <w:rPr>
          <w:lang/>
        </w:rPr>
        <w:t xml:space="preserve"> that </w:t>
      </w:r>
      <w:r w:rsidR="00B74EED">
        <w:rPr>
          <w:color w:val="0070C0"/>
          <w:lang/>
        </w:rPr>
        <w:t>“</w:t>
      </w:r>
      <w:r>
        <w:rPr>
          <w:lang/>
        </w:rPr>
        <w:t xml:space="preserve">under certain circumstances, </w:t>
      </w:r>
      <w:r w:rsidR="00B74EED">
        <w:rPr>
          <w:color w:val="0070C0"/>
          <w:lang/>
        </w:rPr>
        <w:t>[</w:t>
      </w:r>
      <w:r>
        <w:rPr>
          <w:lang/>
        </w:rPr>
        <w:t xml:space="preserve">futile </w:t>
      </w:r>
      <w:r w:rsidRPr="00B74EED">
        <w:rPr>
          <w:color w:val="0070C0"/>
          <w:lang/>
        </w:rPr>
        <w:t>CPR</w:t>
      </w:r>
      <w:r w:rsidR="00B74EED">
        <w:rPr>
          <w:color w:val="0070C0"/>
          <w:lang/>
        </w:rPr>
        <w:t>]</w:t>
      </w:r>
      <w:r>
        <w:rPr>
          <w:lang/>
        </w:rPr>
        <w:t xml:space="preserve"> is an </w:t>
      </w:r>
      <w:commentRangeStart w:id="8"/>
      <w:r>
        <w:rPr>
          <w:lang/>
        </w:rPr>
        <w:t>accepted</w:t>
      </w:r>
      <w:commentRangeEnd w:id="8"/>
      <w:r w:rsidR="00B74EED">
        <w:rPr>
          <w:rStyle w:val="CommentReference"/>
        </w:rPr>
        <w:commentReference w:id="8"/>
      </w:r>
      <w:r>
        <w:rPr>
          <w:lang/>
        </w:rPr>
        <w:t xml:space="preserve"> moral practice by signaling that everything possible has been done, and </w:t>
      </w:r>
      <w:commentRangeStart w:id="9"/>
      <w:r>
        <w:rPr>
          <w:lang/>
        </w:rPr>
        <w:t>allows</w:t>
      </w:r>
      <w:commentRangeEnd w:id="9"/>
      <w:r w:rsidR="00B74EED">
        <w:rPr>
          <w:rStyle w:val="CommentReference"/>
        </w:rPr>
        <w:commentReference w:id="9"/>
      </w:r>
      <w:r>
        <w:rPr>
          <w:lang/>
        </w:rPr>
        <w:t xml:space="preserve"> the grief of significant others to be properly addressed</w:t>
      </w:r>
      <w:r w:rsidR="00B74EED">
        <w:rPr>
          <w:color w:val="0070C0"/>
          <w:lang/>
        </w:rPr>
        <w:t xml:space="preserve"> (p. 495)</w:t>
      </w:r>
      <w:r>
        <w:rPr>
          <w:lang/>
        </w:rPr>
        <w:t xml:space="preserve">.  </w:t>
      </w:r>
      <w:r w:rsidR="004D0D8A">
        <w:rPr>
          <w:lang/>
        </w:rPr>
        <w:t>Mohammed and Peter (2009</w:t>
      </w:r>
      <w:r w:rsidR="005158E7">
        <w:rPr>
          <w:color w:val="0070C0"/>
          <w:lang/>
        </w:rPr>
        <w:t>, as cited by Bremer &amp; Sandman, 2011</w:t>
      </w:r>
      <w:r w:rsidR="004D0D8A">
        <w:rPr>
          <w:lang/>
        </w:rPr>
        <w:t>) suggest</w:t>
      </w:r>
      <w:r w:rsidR="005158E7">
        <w:rPr>
          <w:color w:val="0070C0"/>
          <w:lang/>
        </w:rPr>
        <w:t>ed</w:t>
      </w:r>
      <w:r w:rsidR="004D0D8A">
        <w:rPr>
          <w:lang/>
        </w:rPr>
        <w:t xml:space="preserve"> futile CPR </w:t>
      </w:r>
      <w:r w:rsidR="005158E7">
        <w:rPr>
          <w:color w:val="0070C0"/>
          <w:lang/>
        </w:rPr>
        <w:t>“</w:t>
      </w:r>
      <w:r w:rsidR="004D0D8A">
        <w:rPr>
          <w:lang/>
        </w:rPr>
        <w:t>will help the signific</w:t>
      </w:r>
      <w:r w:rsidR="001B0324">
        <w:rPr>
          <w:lang/>
        </w:rPr>
        <w:t>ant others to distinguish an</w:t>
      </w:r>
      <w:r w:rsidR="004D0D8A">
        <w:rPr>
          <w:lang/>
        </w:rPr>
        <w:t xml:space="preserve"> acceptable line between curing and letting go</w:t>
      </w:r>
      <w:r w:rsidR="005158E7">
        <w:rPr>
          <w:color w:val="0070C0"/>
          <w:lang/>
        </w:rPr>
        <w:t>”</w:t>
      </w:r>
      <w:r w:rsidR="004D0D8A">
        <w:rPr>
          <w:lang/>
        </w:rPr>
        <w:t xml:space="preserve"> as well as a means to make sense of a death that otherwise would appear meaningless</w:t>
      </w:r>
      <w:r w:rsidR="005158E7">
        <w:rPr>
          <w:color w:val="0070C0"/>
          <w:lang/>
        </w:rPr>
        <w:t>” (p. 498)</w:t>
      </w:r>
      <w:r w:rsidR="00C35113">
        <w:rPr>
          <w:lang/>
        </w:rPr>
        <w:t>.</w:t>
      </w:r>
      <w:r w:rsidR="006D2FE2">
        <w:rPr>
          <w:lang/>
        </w:rPr>
        <w:t xml:space="preserve">  </w:t>
      </w:r>
      <w:r w:rsidR="00B74EED">
        <w:rPr>
          <w:color w:val="0070C0"/>
          <w:lang/>
        </w:rPr>
        <w:t>Paragraphs should contain a minimum of 3 sentences.</w:t>
      </w:r>
    </w:p>
    <w:p w:rsidR="001013BD" w:rsidRPr="002B48B5" w:rsidRDefault="006D2FE2" w:rsidP="00C57055">
      <w:pPr>
        <w:pStyle w:val="APABody"/>
        <w:rPr>
          <w:color w:val="0070C0"/>
          <w:lang/>
        </w:rPr>
      </w:pPr>
      <w:r>
        <w:rPr>
          <w:lang/>
        </w:rPr>
        <w:t>Naess et al. (as cited by Bremer &amp; Sandman</w:t>
      </w:r>
      <w:r w:rsidR="002B48B5">
        <w:rPr>
          <w:color w:val="0070C0"/>
          <w:lang/>
        </w:rPr>
        <w:t>,</w:t>
      </w:r>
      <w:r>
        <w:rPr>
          <w:lang/>
        </w:rPr>
        <w:t xml:space="preserve"> 2011) </w:t>
      </w:r>
      <w:commentRangeStart w:id="10"/>
      <w:r>
        <w:rPr>
          <w:lang/>
        </w:rPr>
        <w:t>argues</w:t>
      </w:r>
      <w:commentRangeEnd w:id="10"/>
      <w:r w:rsidR="005158E7">
        <w:rPr>
          <w:rStyle w:val="CommentReference"/>
        </w:rPr>
        <w:commentReference w:id="10"/>
      </w:r>
      <w:r>
        <w:rPr>
          <w:lang/>
        </w:rPr>
        <w:t xml:space="preserve"> that when </w:t>
      </w:r>
      <w:r w:rsidR="005158E7">
        <w:rPr>
          <w:color w:val="0070C0"/>
          <w:lang/>
        </w:rPr>
        <w:t xml:space="preserve">[ambulance] </w:t>
      </w:r>
      <w:r>
        <w:rPr>
          <w:lang/>
        </w:rPr>
        <w:t xml:space="preserve">professionals </w:t>
      </w:r>
      <w:r w:rsidR="005158E7">
        <w:rPr>
          <w:color w:val="0070C0"/>
          <w:lang/>
        </w:rPr>
        <w:t>“</w:t>
      </w:r>
      <w:r>
        <w:rPr>
          <w:lang/>
        </w:rPr>
        <w:t>believe CPR is futile, they will only perform it “half-heartedly”</w:t>
      </w:r>
      <w:r w:rsidR="005158E7">
        <w:rPr>
          <w:color w:val="0070C0"/>
          <w:lang/>
        </w:rPr>
        <w:t xml:space="preserve"> “(p. 498)</w:t>
      </w:r>
      <w:r>
        <w:rPr>
          <w:lang/>
        </w:rPr>
        <w:t xml:space="preserve">.  Naess </w:t>
      </w:r>
      <w:r w:rsidR="00FD5A59">
        <w:rPr>
          <w:lang/>
        </w:rPr>
        <w:t>et al.contend</w:t>
      </w:r>
      <w:r w:rsidR="005B72E6">
        <w:rPr>
          <w:color w:val="0070C0"/>
          <w:lang/>
        </w:rPr>
        <w:t>ed</w:t>
      </w:r>
      <w:r>
        <w:rPr>
          <w:lang/>
        </w:rPr>
        <w:t xml:space="preserve"> this will still allow </w:t>
      </w:r>
      <w:r w:rsidR="00FD5A59">
        <w:rPr>
          <w:lang/>
        </w:rPr>
        <w:t>the</w:t>
      </w:r>
      <w:r>
        <w:rPr>
          <w:lang/>
        </w:rPr>
        <w:t xml:space="preserve"> family to view that everything possible has been done for their loved one.  Other professionals call this a “slow code”.  In a study done </w:t>
      </w:r>
      <w:r w:rsidR="004747E8">
        <w:rPr>
          <w:lang/>
        </w:rPr>
        <w:t xml:space="preserve">in Ireland </w:t>
      </w:r>
      <w:r>
        <w:rPr>
          <w:lang/>
        </w:rPr>
        <w:t xml:space="preserve">by Kelly (2007), </w:t>
      </w:r>
      <w:r w:rsidR="00FD5A59">
        <w:rPr>
          <w:lang/>
        </w:rPr>
        <w:t xml:space="preserve">the author </w:t>
      </w:r>
      <w:r w:rsidR="005B72E6">
        <w:rPr>
          <w:color w:val="0070C0"/>
          <w:lang/>
        </w:rPr>
        <w:t>“</w:t>
      </w:r>
      <w:commentRangeStart w:id="11"/>
      <w:r w:rsidR="00FD5A59">
        <w:rPr>
          <w:lang/>
        </w:rPr>
        <w:t>suggests</w:t>
      </w:r>
      <w:commentRangeEnd w:id="11"/>
      <w:r w:rsidR="005B72E6">
        <w:rPr>
          <w:rStyle w:val="CommentReference"/>
        </w:rPr>
        <w:commentReference w:id="11"/>
      </w:r>
      <w:r w:rsidR="00FD5A59">
        <w:rPr>
          <w:lang/>
        </w:rPr>
        <w:t xml:space="preserve"> that the factors </w:t>
      </w:r>
      <w:commentRangeStart w:id="12"/>
      <w:r w:rsidR="00FD5A59">
        <w:rPr>
          <w:lang/>
        </w:rPr>
        <w:t>which</w:t>
      </w:r>
      <w:commentRangeEnd w:id="12"/>
      <w:r w:rsidR="002B48B5">
        <w:rPr>
          <w:rStyle w:val="CommentReference"/>
        </w:rPr>
        <w:commentReference w:id="12"/>
      </w:r>
      <w:r w:rsidR="00FD5A59">
        <w:rPr>
          <w:lang/>
        </w:rPr>
        <w:t xml:space="preserve"> contribute to the decision to order a slow code are born of the conflict between two ethical theories, namely deontology and utilitarianism</w:t>
      </w:r>
      <w:r w:rsidR="005B72E6">
        <w:rPr>
          <w:color w:val="0070C0"/>
          <w:lang/>
        </w:rPr>
        <w:t>” (p. ?)</w:t>
      </w:r>
      <w:r w:rsidR="00FD5A59">
        <w:rPr>
          <w:lang/>
        </w:rPr>
        <w:t>.  Deontology, known as Kantian deontology</w:t>
      </w:r>
      <w:r w:rsidR="004E1142">
        <w:rPr>
          <w:lang/>
        </w:rPr>
        <w:t>,</w:t>
      </w:r>
      <w:r w:rsidR="00FD5A59">
        <w:rPr>
          <w:lang/>
        </w:rPr>
        <w:t xml:space="preserve"> prescribes that each rational being is ethically bound to act only from a sense of duty (Butts &amp; Rich, 2008).  Deontologists believe it is their sense of obligation and </w:t>
      </w:r>
      <w:r w:rsidR="004E1142">
        <w:rPr>
          <w:lang/>
        </w:rPr>
        <w:t xml:space="preserve">responsibility to obey moral rules and are concerned with the moral good or intent of an action rather than the outcome.  </w:t>
      </w:r>
      <w:r w:rsidR="005B72E6">
        <w:rPr>
          <w:color w:val="0070C0"/>
          <w:lang/>
        </w:rPr>
        <w:t>“</w:t>
      </w:r>
      <w:r w:rsidR="004E1142">
        <w:rPr>
          <w:lang/>
        </w:rPr>
        <w:t>Utilitarianism does not rely on the adherence to rigid rules but concentrates on the moral outcome of an action rather than the motives for it</w:t>
      </w:r>
      <w:r w:rsidR="005B72E6">
        <w:rPr>
          <w:color w:val="0070C0"/>
          <w:lang/>
        </w:rPr>
        <w:t>”</w:t>
      </w:r>
      <w:r w:rsidR="004E1142">
        <w:rPr>
          <w:lang/>
        </w:rPr>
        <w:t xml:space="preserve"> (Kelly, 2007</w:t>
      </w:r>
      <w:bookmarkStart w:id="13" w:name="CurLocation"/>
      <w:bookmarkEnd w:id="13"/>
      <w:r w:rsidR="005B72E6">
        <w:rPr>
          <w:color w:val="0070C0"/>
          <w:lang/>
        </w:rPr>
        <w:t>, p. ?</w:t>
      </w:r>
      <w:r w:rsidR="004E1142">
        <w:rPr>
          <w:lang/>
        </w:rPr>
        <w:t xml:space="preserve">).  In Kelly’s study (2007), the author </w:t>
      </w:r>
      <w:commentRangeStart w:id="14"/>
      <w:r w:rsidR="004E1142">
        <w:rPr>
          <w:lang/>
        </w:rPr>
        <w:t>describes</w:t>
      </w:r>
      <w:commentRangeEnd w:id="14"/>
      <w:r w:rsidR="005B72E6">
        <w:rPr>
          <w:rStyle w:val="CommentReference"/>
        </w:rPr>
        <w:commentReference w:id="14"/>
      </w:r>
      <w:r w:rsidR="004E1142">
        <w:rPr>
          <w:lang/>
        </w:rPr>
        <w:t xml:space="preserve"> the ethical factors that contribute to slow codes as </w:t>
      </w:r>
      <w:r w:rsidR="002B48B5">
        <w:rPr>
          <w:color w:val="0070C0"/>
          <w:lang/>
        </w:rPr>
        <w:t>“</w:t>
      </w:r>
      <w:commentRangeStart w:id="15"/>
      <w:r w:rsidR="004E1142">
        <w:rPr>
          <w:lang/>
        </w:rPr>
        <w:t>non-maleficence</w:t>
      </w:r>
      <w:commentRangeEnd w:id="15"/>
      <w:r w:rsidR="005B72E6">
        <w:rPr>
          <w:rStyle w:val="CommentReference"/>
        </w:rPr>
        <w:commentReference w:id="15"/>
      </w:r>
      <w:commentRangeStart w:id="16"/>
      <w:r w:rsidR="004E1142">
        <w:rPr>
          <w:lang/>
        </w:rPr>
        <w:t>,</w:t>
      </w:r>
      <w:commentRangeEnd w:id="16"/>
      <w:r w:rsidR="002B48B5">
        <w:rPr>
          <w:rStyle w:val="CommentReference"/>
        </w:rPr>
        <w:commentReference w:id="16"/>
      </w:r>
      <w:r w:rsidR="004E1142">
        <w:rPr>
          <w:lang/>
        </w:rPr>
        <w:t xml:space="preserve"> to spare the patient</w:t>
      </w:r>
      <w:r w:rsidR="005704AF">
        <w:rPr>
          <w:lang/>
        </w:rPr>
        <w:t xml:space="preserve"> the indignity of surviving to a disastrous level; beneficence: to reassure the family that ‘everything” is </w:t>
      </w:r>
      <w:r w:rsidR="003318C8">
        <w:rPr>
          <w:lang/>
        </w:rPr>
        <w:t>being performed</w:t>
      </w:r>
      <w:r w:rsidR="005704AF">
        <w:rPr>
          <w:lang/>
        </w:rPr>
        <w:t xml:space="preserve"> for the patient; autonomy</w:t>
      </w:r>
      <w:commentRangeStart w:id="17"/>
      <w:r w:rsidR="005704AF">
        <w:rPr>
          <w:lang/>
        </w:rPr>
        <w:t>;</w:t>
      </w:r>
      <w:commentRangeEnd w:id="17"/>
      <w:r w:rsidR="002B48B5">
        <w:rPr>
          <w:rStyle w:val="CommentReference"/>
        </w:rPr>
        <w:commentReference w:id="17"/>
      </w:r>
      <w:r w:rsidR="005704AF">
        <w:rPr>
          <w:lang/>
        </w:rPr>
        <w:t xml:space="preserve"> to provide the patient and family with illusory autonomy; and justice: to limit </w:t>
      </w:r>
      <w:r w:rsidR="005704AF">
        <w:rPr>
          <w:lang/>
        </w:rPr>
        <w:lastRenderedPageBreak/>
        <w:t>expensive treatments by providing a successful exit from a devastating disease</w:t>
      </w:r>
      <w:r w:rsidR="002B48B5">
        <w:rPr>
          <w:color w:val="0070C0"/>
          <w:lang/>
        </w:rPr>
        <w:t>”</w:t>
      </w:r>
      <w:r w:rsidR="005704AF">
        <w:rPr>
          <w:lang/>
        </w:rPr>
        <w:t xml:space="preserve"> (p.1991)</w:t>
      </w:r>
      <w:r w:rsidR="004747E8">
        <w:rPr>
          <w:lang/>
        </w:rPr>
        <w:t>.</w:t>
      </w:r>
      <w:r w:rsidR="005704AF">
        <w:rPr>
          <w:lang/>
        </w:rPr>
        <w:t xml:space="preserve"> </w:t>
      </w:r>
      <w:r w:rsidR="002B48B5">
        <w:rPr>
          <w:color w:val="0070C0"/>
          <w:lang/>
        </w:rPr>
        <w:t>Place long quotations (&gt; or = to 40 words) in a block quote.</w:t>
      </w:r>
    </w:p>
    <w:p w:rsidR="004C3FDB" w:rsidRDefault="004C3FDB" w:rsidP="00C57055">
      <w:pPr>
        <w:pStyle w:val="APABody"/>
        <w:rPr>
          <w:lang/>
        </w:rPr>
      </w:pPr>
      <w:r>
        <w:rPr>
          <w:lang/>
        </w:rPr>
        <w:t>In the United States, it is policy in most hospitals</w:t>
      </w:r>
      <w:r w:rsidR="002B48B5">
        <w:rPr>
          <w:color w:val="0070C0"/>
          <w:lang/>
        </w:rPr>
        <w:t>,</w:t>
      </w:r>
      <w:r>
        <w:rPr>
          <w:lang/>
        </w:rPr>
        <w:t xml:space="preserve"> if not all hospitals</w:t>
      </w:r>
      <w:r w:rsidR="002B48B5">
        <w:rPr>
          <w:color w:val="0070C0"/>
          <w:lang/>
        </w:rPr>
        <w:t>,</w:t>
      </w:r>
      <w:r>
        <w:rPr>
          <w:lang/>
        </w:rPr>
        <w:t xml:space="preserve"> to resuscitate patients </w:t>
      </w:r>
      <w:r w:rsidRPr="002B48B5">
        <w:rPr>
          <w:strike/>
          <w:lang/>
        </w:rPr>
        <w:t xml:space="preserve">who </w:t>
      </w:r>
      <w:r w:rsidR="00ED718A" w:rsidRPr="002B48B5">
        <w:rPr>
          <w:strike/>
          <w:lang/>
        </w:rPr>
        <w:t>are</w:t>
      </w:r>
      <w:r w:rsidR="00ED718A">
        <w:rPr>
          <w:lang/>
        </w:rPr>
        <w:t xml:space="preserve"> in cardiac and pulmonary arrest.  CPR can only be withheld if there is an order for a </w:t>
      </w:r>
      <w:commentRangeStart w:id="18"/>
      <w:r w:rsidR="00ED718A">
        <w:rPr>
          <w:lang/>
        </w:rPr>
        <w:t xml:space="preserve">do not resuscitate </w:t>
      </w:r>
      <w:commentRangeEnd w:id="18"/>
      <w:r w:rsidR="002B48B5">
        <w:rPr>
          <w:rStyle w:val="CommentReference"/>
        </w:rPr>
        <w:commentReference w:id="18"/>
      </w:r>
      <w:r w:rsidR="00ED718A">
        <w:rPr>
          <w:lang/>
        </w:rPr>
        <w:t xml:space="preserve">(DNR) on the </w:t>
      </w:r>
      <w:r w:rsidR="00ED718A" w:rsidRPr="002B48B5">
        <w:rPr>
          <w:color w:val="0070C0"/>
          <w:lang/>
        </w:rPr>
        <w:t>patient</w:t>
      </w:r>
      <w:r w:rsidR="002B48B5">
        <w:rPr>
          <w:color w:val="0070C0"/>
          <w:lang/>
        </w:rPr>
        <w:t>’</w:t>
      </w:r>
      <w:r w:rsidR="00ED718A" w:rsidRPr="002B48B5">
        <w:rPr>
          <w:color w:val="0070C0"/>
          <w:lang/>
        </w:rPr>
        <w:t>s</w:t>
      </w:r>
      <w:r w:rsidR="00ED718A">
        <w:rPr>
          <w:lang/>
        </w:rPr>
        <w:t xml:space="preserve"> chart signed by the physician.  </w:t>
      </w:r>
      <w:r w:rsidR="00303784">
        <w:rPr>
          <w:lang/>
        </w:rPr>
        <w:t>Because of this policy, many nurses and physicians feel they must initiate CPR no matter the patient’s diagnosis.  In</w:t>
      </w:r>
      <w:r w:rsidR="00ED718A">
        <w:rPr>
          <w:lang/>
        </w:rPr>
        <w:t xml:space="preserve"> the article by Bishop et al. (2010), the policy to presume all patients want to be resuscitated should not occur.  They argue</w:t>
      </w:r>
      <w:r w:rsidR="002B48B5">
        <w:rPr>
          <w:color w:val="0070C0"/>
          <w:lang/>
        </w:rPr>
        <w:t>d</w:t>
      </w:r>
      <w:r w:rsidR="00ED718A">
        <w:rPr>
          <w:lang/>
        </w:rPr>
        <w:t xml:space="preserve"> that every patient on admission over the age of 18 should have education regarding resuscitation and the potential outcomes of resuscitation.</w:t>
      </w:r>
      <w:r w:rsidR="00303784">
        <w:rPr>
          <w:lang/>
        </w:rPr>
        <w:t xml:space="preserve">  They feel it is important to</w:t>
      </w:r>
      <w:r w:rsidR="00ED718A">
        <w:rPr>
          <w:lang/>
        </w:rPr>
        <w:t xml:space="preserve"> learn the patient’s own views regarding whether the level of burden or risks of CPR outweighs the likely benefits from successful CPR</w:t>
      </w:r>
      <w:r w:rsidR="00303784">
        <w:rPr>
          <w:lang/>
        </w:rPr>
        <w:t xml:space="preserve">.  This allows the patient and family to make an educated decision regarding CPR or the option of a DNR order.  Many disagreements over CPR often result when the family is surprised by the recommendation for a DNR order to be placed by the physician late in the treatment of a loved one. </w:t>
      </w:r>
    </w:p>
    <w:p w:rsidR="00303784" w:rsidRDefault="00303784" w:rsidP="00C57055">
      <w:pPr>
        <w:pStyle w:val="APABody"/>
        <w:rPr>
          <w:lang/>
        </w:rPr>
      </w:pPr>
      <w:r>
        <w:rPr>
          <w:lang/>
        </w:rPr>
        <w:t xml:space="preserve">In today’s society, </w:t>
      </w:r>
      <w:r w:rsidR="00EA5D9D">
        <w:rPr>
          <w:lang/>
        </w:rPr>
        <w:t>hospitals need</w:t>
      </w:r>
      <w:r>
        <w:rPr>
          <w:lang/>
        </w:rPr>
        <w:t xml:space="preserve"> to reconsider the policy to always initiate CPR on a</w:t>
      </w:r>
      <w:r w:rsidR="00EA5D9D">
        <w:rPr>
          <w:lang/>
        </w:rPr>
        <w:t>ll patients who do not have a D</w:t>
      </w:r>
      <w:r>
        <w:rPr>
          <w:lang/>
        </w:rPr>
        <w:t>N</w:t>
      </w:r>
      <w:r w:rsidR="00EA5D9D">
        <w:rPr>
          <w:lang/>
        </w:rPr>
        <w:t>R</w:t>
      </w:r>
      <w:r>
        <w:rPr>
          <w:lang/>
        </w:rPr>
        <w:t xml:space="preserve"> order on their charts.  It is possible the physician has not discussed the need for a living will with the patient who may want to refuse CPR if </w:t>
      </w:r>
      <w:commentRangeStart w:id="19"/>
      <w:r>
        <w:rPr>
          <w:lang/>
        </w:rPr>
        <w:t>he/she</w:t>
      </w:r>
      <w:commentRangeEnd w:id="19"/>
      <w:r w:rsidR="002B48B5">
        <w:rPr>
          <w:rStyle w:val="CommentReference"/>
        </w:rPr>
        <w:commentReference w:id="19"/>
      </w:r>
      <w:r>
        <w:rPr>
          <w:lang/>
        </w:rPr>
        <w:t xml:space="preserve"> knew this was an option.  The </w:t>
      </w:r>
      <w:r w:rsidRPr="0082174D">
        <w:rPr>
          <w:strike/>
          <w:lang/>
        </w:rPr>
        <w:t>actual</w:t>
      </w:r>
      <w:r>
        <w:rPr>
          <w:lang/>
        </w:rPr>
        <w:t xml:space="preserve"> disease process needs to be included in the decision to initiate or withhold CPR.</w:t>
      </w:r>
      <w:r w:rsidR="00EA5D9D">
        <w:rPr>
          <w:lang/>
        </w:rPr>
        <w:t xml:space="preserve">  </w:t>
      </w:r>
      <w:r w:rsidR="008A3394">
        <w:rPr>
          <w:lang/>
        </w:rPr>
        <w:t>The cause of the cardiac arrest must be evaluated</w:t>
      </w:r>
      <w:r w:rsidR="0082174D">
        <w:rPr>
          <w:color w:val="0070C0"/>
          <w:lang/>
        </w:rPr>
        <w:t>,</w:t>
      </w:r>
      <w:r w:rsidR="008A3394">
        <w:rPr>
          <w:lang/>
        </w:rPr>
        <w:t xml:space="preserve"> such as an electrolyte disturbance</w:t>
      </w:r>
      <w:r w:rsidR="00393BEC">
        <w:rPr>
          <w:lang/>
        </w:rPr>
        <w:t xml:space="preserve"> or volume depletion</w:t>
      </w:r>
      <w:r w:rsidR="008A3394">
        <w:rPr>
          <w:lang/>
        </w:rPr>
        <w:t xml:space="preserve">. Initiating CPR in this case should have a positive outcome versus someone who has the diagnosis of congestive heart failure or a terminal illness by which the normal dying process is cardiac arrest.  </w:t>
      </w:r>
      <w:r w:rsidR="00EA5D9D" w:rsidRPr="0082174D">
        <w:rPr>
          <w:strike/>
          <w:lang/>
        </w:rPr>
        <w:t>By</w:t>
      </w:r>
      <w:r w:rsidR="00EA5D9D">
        <w:rPr>
          <w:lang/>
        </w:rPr>
        <w:t xml:space="preserve"> continually initiating CPR on all patients</w:t>
      </w:r>
      <w:r w:rsidR="00EA5D9D" w:rsidRPr="0082174D">
        <w:rPr>
          <w:strike/>
          <w:lang/>
        </w:rPr>
        <w:t>, it</w:t>
      </w:r>
      <w:r w:rsidR="00EA5D9D">
        <w:rPr>
          <w:lang/>
        </w:rPr>
        <w:t xml:space="preserve"> may give society the false illusion that all deaths can be prevented.   Hospital</w:t>
      </w:r>
      <w:r w:rsidR="00393BEC">
        <w:rPr>
          <w:lang/>
        </w:rPr>
        <w:t>s</w:t>
      </w:r>
      <w:r w:rsidR="00EA5D9D">
        <w:rPr>
          <w:lang/>
        </w:rPr>
        <w:t xml:space="preserve"> need to initiate policies </w:t>
      </w:r>
      <w:r w:rsidR="00EA5D9D">
        <w:rPr>
          <w:lang/>
        </w:rPr>
        <w:lastRenderedPageBreak/>
        <w:t xml:space="preserve">to allow the physicians and nurses to feel protected if they know the act is not medically indicated.  </w:t>
      </w:r>
      <w:r w:rsidR="00EA5D9D" w:rsidRPr="0082174D">
        <w:rPr>
          <w:strike/>
          <w:lang/>
        </w:rPr>
        <w:t>Because of</w:t>
      </w:r>
      <w:r w:rsidR="00EA5D9D">
        <w:rPr>
          <w:lang/>
        </w:rPr>
        <w:t xml:space="preserve"> the lack of a DNR order</w:t>
      </w:r>
      <w:r w:rsidR="00EA5D9D" w:rsidRPr="0082174D">
        <w:rPr>
          <w:strike/>
          <w:lang/>
        </w:rPr>
        <w:t>, it</w:t>
      </w:r>
      <w:r w:rsidR="00EA5D9D">
        <w:rPr>
          <w:lang/>
        </w:rPr>
        <w:t xml:space="preserve"> coerces physicians and nurses to carry out medical procedures against their best judgment</w:t>
      </w:r>
      <w:r w:rsidR="00393BEC">
        <w:rPr>
          <w:lang/>
        </w:rPr>
        <w:t xml:space="preserve"> due to fear of liability</w:t>
      </w:r>
      <w:r w:rsidR="00EA5D9D">
        <w:rPr>
          <w:lang/>
        </w:rPr>
        <w:t>.</w:t>
      </w:r>
      <w:r w:rsidR="007D120A">
        <w:rPr>
          <w:lang/>
        </w:rPr>
        <w:t xml:space="preserve">  Like any other medical treatment, CPR may not be in the patient’s best interest.</w:t>
      </w:r>
    </w:p>
    <w:p w:rsidR="005D680D" w:rsidRPr="006D6DD7" w:rsidRDefault="006F2EA5" w:rsidP="00C57055">
      <w:pPr>
        <w:pStyle w:val="APABody"/>
        <w:rPr>
          <w:lang/>
        </w:rPr>
      </w:pPr>
      <w:r>
        <w:rPr>
          <w:lang/>
        </w:rPr>
        <w:t>The United State</w:t>
      </w:r>
      <w:r w:rsidR="00D16D00">
        <w:rPr>
          <w:lang/>
        </w:rPr>
        <w:t>s needs to reconsider that all patients are</w:t>
      </w:r>
      <w:r>
        <w:rPr>
          <w:lang/>
        </w:rPr>
        <w:t xml:space="preserve"> presumed </w:t>
      </w:r>
      <w:r w:rsidR="00D16D00">
        <w:rPr>
          <w:lang/>
        </w:rPr>
        <w:t xml:space="preserve">to </w:t>
      </w:r>
      <w:r>
        <w:rPr>
          <w:lang/>
        </w:rPr>
        <w:t>request</w:t>
      </w:r>
      <w:r w:rsidR="00D16D00">
        <w:rPr>
          <w:lang/>
        </w:rPr>
        <w:t xml:space="preserve"> </w:t>
      </w:r>
      <w:r w:rsidR="00D16D00" w:rsidRPr="0082174D">
        <w:rPr>
          <w:strike/>
          <w:lang/>
        </w:rPr>
        <w:t>that</w:t>
      </w:r>
      <w:r>
        <w:rPr>
          <w:lang/>
        </w:rPr>
        <w:t xml:space="preserve"> CPR </w:t>
      </w:r>
      <w:r w:rsidR="00D16D00" w:rsidRPr="0082174D">
        <w:rPr>
          <w:strike/>
          <w:lang/>
        </w:rPr>
        <w:t>is to</w:t>
      </w:r>
      <w:r w:rsidR="00D16D00">
        <w:rPr>
          <w:lang/>
        </w:rPr>
        <w:t xml:space="preserve"> be </w:t>
      </w:r>
      <w:r>
        <w:rPr>
          <w:lang/>
        </w:rPr>
        <w:t>initiated</w:t>
      </w:r>
      <w:r w:rsidR="00D16D00">
        <w:rPr>
          <w:lang/>
        </w:rPr>
        <w:t xml:space="preserve"> in the lack of a DNR order</w:t>
      </w:r>
      <w:r>
        <w:rPr>
          <w:lang/>
        </w:rPr>
        <w:t xml:space="preserve">.  Patients and families need to be educated that the physicians do have the right to withhold medically futile treatments to their patients.  All patients over the age of 18 need to have an advanced directive that states their preferences for CPR to be initiated with the knowledge of the burdens of possible neurological damage after 10 minutes of attempted resuscitation.  Patients need to have the option of being allowed to die a natural death and to die with dignity.  </w:t>
      </w:r>
    </w:p>
    <w:p w:rsidR="009A7CB0" w:rsidRDefault="009A7CB0" w:rsidP="009A7CB0">
      <w:pPr>
        <w:pStyle w:val="APABody"/>
      </w:pPr>
    </w:p>
    <w:p w:rsidR="00B067A5" w:rsidRDefault="00B067A5" w:rsidP="009A7CB0">
      <w:pPr>
        <w:pStyle w:val="APABody"/>
      </w:pPr>
      <w:r w:rsidRPr="00B067A5">
        <w:t xml:space="preserve"> </w:t>
      </w:r>
    </w:p>
    <w:p w:rsidR="009A7CB0" w:rsidRDefault="009A7CB0" w:rsidP="009A7CB0">
      <w:pPr>
        <w:pStyle w:val="APABody"/>
      </w:pPr>
      <w:r>
        <w:br w:type="page"/>
      </w:r>
    </w:p>
    <w:p w:rsidR="009A7CB0" w:rsidRDefault="009A7CB0" w:rsidP="009A7CB0">
      <w:pPr>
        <w:pStyle w:val="APACenteredText"/>
      </w:pPr>
      <w:r>
        <w:lastRenderedPageBreak/>
        <w:t>References</w:t>
      </w:r>
    </w:p>
    <w:p w:rsidR="004E1142" w:rsidRPr="0094189A" w:rsidRDefault="004E1142" w:rsidP="009A7CB0">
      <w:pPr>
        <w:pStyle w:val="References"/>
      </w:pPr>
      <w:bookmarkStart w:id="20" w:name="ReferencesBookmark"/>
      <w:r>
        <w:rPr>
          <w:vanish/>
        </w:rPr>
        <w:t>Berger J T 2010 Insult to njury: Ethical confusion in American Heart Association guidelines for cardopulmonary resuscitation and emergency cardiovascular care.</w:t>
      </w:r>
      <w:r>
        <w:t xml:space="preserve">Berger, J. T. (2010). Insult to </w:t>
      </w:r>
      <w:r w:rsidR="00D16D00">
        <w:t>injury</w:t>
      </w:r>
      <w:r>
        <w:t xml:space="preserve">: Ethical confusion in American Heart Association guidelines for </w:t>
      </w:r>
      <w:r w:rsidR="00D16D00">
        <w:t>cardiopulmonary</w:t>
      </w:r>
      <w:r>
        <w:t xml:space="preserve"> resuscitation and emergency cardiovascular care. </w:t>
      </w:r>
      <w:r>
        <w:rPr>
          <w:i/>
        </w:rPr>
        <w:t>The American Journal of Bioethics, 10</w:t>
      </w:r>
      <w:r>
        <w:t xml:space="preserve">(1), 68-69. </w:t>
      </w:r>
    </w:p>
    <w:p w:rsidR="004E1142" w:rsidRPr="00C84DF8" w:rsidRDefault="004E1142" w:rsidP="009A7CB0">
      <w:pPr>
        <w:pStyle w:val="References"/>
      </w:pPr>
      <w:r>
        <w:rPr>
          <w:vanish/>
        </w:rPr>
        <w:t>Bishop J P Brothers K B Perry J E Ahmad A 2010 Reviving the Conversation Around CPR/DNR.</w:t>
      </w:r>
      <w:r>
        <w:t xml:space="preserve">Bishop, J. P., Brothers, K. B., Perry, J. E., &amp; Ahmad, A. (2010). Reviving the conversation around CPR/DNR. </w:t>
      </w:r>
      <w:r>
        <w:rPr>
          <w:i/>
        </w:rPr>
        <w:t>The American Journal of Bioethics, 10</w:t>
      </w:r>
      <w:r>
        <w:t xml:space="preserve">(1), 61-67. </w:t>
      </w:r>
    </w:p>
    <w:p w:rsidR="004E1142" w:rsidRPr="006D2FE2" w:rsidRDefault="004E1142" w:rsidP="009A7CB0">
      <w:pPr>
        <w:pStyle w:val="References"/>
      </w:pPr>
      <w:r>
        <w:rPr>
          <w:vanish/>
        </w:rPr>
        <w:t>Bremer A Sandman L 2011 Futile cardiopulmonary resuscitation for the benefit of others: An ethical analysis.</w:t>
      </w:r>
      <w:r>
        <w:t xml:space="preserve">Bremer, A., &amp; Sandman, L. (2011). Futile cardiopulmonary resuscitation for the benefit of others: An ethical analysis. </w:t>
      </w:r>
      <w:r>
        <w:rPr>
          <w:i/>
        </w:rPr>
        <w:t>Nursing Ethics, 18</w:t>
      </w:r>
      <w:r>
        <w:t xml:space="preserve">(4), 495-504. </w:t>
      </w:r>
    </w:p>
    <w:p w:rsidR="004E1142" w:rsidRPr="00737F29" w:rsidRDefault="004E1142" w:rsidP="009A7CB0">
      <w:pPr>
        <w:pStyle w:val="References"/>
      </w:pPr>
      <w:r>
        <w:rPr>
          <w:vanish/>
        </w:rPr>
        <w:t>Butts J B Rich K L 2008 Nursing ethics across the curriculum and into practice</w:t>
      </w:r>
      <w:r>
        <w:t xml:space="preserve">Butts, J. B., &amp; Rich, K. L. (2008). </w:t>
      </w:r>
      <w:r>
        <w:rPr>
          <w:i/>
        </w:rPr>
        <w:t>Nursing ethics</w:t>
      </w:r>
      <w:r w:rsidR="0082174D">
        <w:rPr>
          <w:i/>
          <w:color w:val="0070C0"/>
        </w:rPr>
        <w:t>:</w:t>
      </w:r>
      <w:r>
        <w:rPr>
          <w:i/>
        </w:rPr>
        <w:t xml:space="preserve"> </w:t>
      </w:r>
      <w:r w:rsidR="0082174D">
        <w:rPr>
          <w:i/>
          <w:color w:val="0070C0"/>
        </w:rPr>
        <w:t>A</w:t>
      </w:r>
      <w:r w:rsidRPr="0082174D">
        <w:rPr>
          <w:i/>
          <w:strike/>
        </w:rPr>
        <w:t>a</w:t>
      </w:r>
      <w:r>
        <w:rPr>
          <w:i/>
        </w:rPr>
        <w:t>cross the curriculum and into practice</w:t>
      </w:r>
      <w:r>
        <w:t xml:space="preserve"> (2nd ed.). Sudbury, MA: Jones and Bartlett.</w:t>
      </w:r>
    </w:p>
    <w:p w:rsidR="004E1142" w:rsidRPr="004E1142" w:rsidRDefault="004E1142" w:rsidP="009A7CB0">
      <w:pPr>
        <w:pStyle w:val="References"/>
      </w:pPr>
      <w:r>
        <w:rPr>
          <w:vanish/>
        </w:rPr>
        <w:t>Kelly J 2007 Literature review: Decision-making regarding slow resuscitation.</w:t>
      </w:r>
      <w:r>
        <w:t xml:space="preserve">Kelly, J. (2007). Literature review: Decision-making regarding slow resuscitation. </w:t>
      </w:r>
      <w:r>
        <w:rPr>
          <w:i/>
        </w:rPr>
        <w:t>Journal of Clinical Nursing, 16</w:t>
      </w:r>
      <w:r>
        <w:t xml:space="preserve">, 1989-1996. </w:t>
      </w:r>
    </w:p>
    <w:p w:rsidR="004E1142" w:rsidRPr="006D6DD7" w:rsidRDefault="004E1142" w:rsidP="009A7CB0">
      <w:pPr>
        <w:pStyle w:val="References"/>
      </w:pPr>
      <w:r>
        <w:rPr>
          <w:vanish/>
        </w:rPr>
        <w:t>Mohammed S Peter E 2009 Rituals, Death, and the Moral Practice of Medical Futility.</w:t>
      </w:r>
      <w:r>
        <w:t xml:space="preserve">Mohammed, S., &amp; Peter, E. (2009). Rituals, death, and the moral practice of medical futility. </w:t>
      </w:r>
      <w:r>
        <w:rPr>
          <w:i/>
        </w:rPr>
        <w:t>Nursing Ethics, 16</w:t>
      </w:r>
      <w:r>
        <w:t xml:space="preserve">(3), 292-301. </w:t>
      </w:r>
    </w:p>
    <w:p w:rsidR="004E1142" w:rsidRDefault="004E1142" w:rsidP="009A7CB0">
      <w:pPr>
        <w:pStyle w:val="References"/>
      </w:pPr>
      <w:r>
        <w:rPr>
          <w:vanish/>
        </w:rPr>
        <w:t>Stedman'S Medical Dictionary 2006 WebMD</w:t>
      </w:r>
      <w:r>
        <w:t xml:space="preserve">Stedman's Medical Dictionary (2006). WebMD. Retrieved November 11, 2011, from </w:t>
      </w:r>
      <w:hyperlink r:id="rId9" w:history="1">
        <w:r w:rsidR="00970CE7" w:rsidRPr="00DD153F">
          <w:rPr>
            <w:rStyle w:val="Hyperlink"/>
          </w:rPr>
          <w:t>http://dictionary.webmd.com/terms/cardiopulmonary-resuscitation(cpr)</w:t>
        </w:r>
      </w:hyperlink>
    </w:p>
    <w:p w:rsidR="00970CE7" w:rsidRPr="002D4237" w:rsidRDefault="00970CE7" w:rsidP="009A7CB0">
      <w:pPr>
        <w:pStyle w:val="References"/>
      </w:pPr>
    </w:p>
    <w:tbl>
      <w:tblPr>
        <w:tblW w:w="0" w:type="auto"/>
        <w:jc w:val="center"/>
        <w:tblCellSpacing w:w="7" w:type="dxa"/>
        <w:tblBorders>
          <w:top w:val="outset" w:sz="6" w:space="0" w:color="003366"/>
          <w:left w:val="outset" w:sz="6" w:space="0" w:color="003366"/>
          <w:bottom w:val="outset" w:sz="6" w:space="0" w:color="003366"/>
          <w:right w:val="outset" w:sz="6" w:space="0" w:color="003366"/>
        </w:tblBorders>
        <w:tblCellMar>
          <w:top w:w="30" w:type="dxa"/>
          <w:left w:w="30" w:type="dxa"/>
          <w:bottom w:w="30" w:type="dxa"/>
          <w:right w:w="30" w:type="dxa"/>
        </w:tblCellMar>
        <w:tblLook w:val="04A0"/>
      </w:tblPr>
      <w:tblGrid>
        <w:gridCol w:w="5376"/>
        <w:gridCol w:w="1619"/>
        <w:gridCol w:w="1611"/>
      </w:tblGrid>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shd w:val="clear" w:color="auto" w:fill="C0C0C0"/>
            <w:hideMark/>
          </w:tcPr>
          <w:bookmarkEnd w:id="20"/>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i/>
                <w:iCs/>
                <w:szCs w:val="24"/>
              </w:rPr>
              <w:t>Content and Organization </w:t>
            </w:r>
            <w:r>
              <w:rPr>
                <w:rFonts w:ascii="Arial" w:eastAsia="Times New Roman" w:hAnsi="Arial" w:cs="Arial"/>
                <w:b/>
                <w:bCs/>
                <w:i/>
                <w:iCs/>
                <w:szCs w:val="24"/>
              </w:rPr>
              <w:br/>
              <w:t>70 Points</w:t>
            </w:r>
          </w:p>
        </w:tc>
        <w:tc>
          <w:tcPr>
            <w:tcW w:w="1605" w:type="dxa"/>
            <w:tcBorders>
              <w:top w:val="outset" w:sz="6" w:space="0" w:color="003366"/>
              <w:left w:val="outset" w:sz="6" w:space="0" w:color="003366"/>
              <w:bottom w:val="outset" w:sz="6" w:space="0" w:color="003366"/>
              <w:right w:val="outset" w:sz="6" w:space="0" w:color="003366"/>
            </w:tcBorders>
            <w:shd w:val="clear" w:color="auto" w:fill="C0C0C0"/>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i/>
                <w:iCs/>
                <w:szCs w:val="24"/>
              </w:rPr>
              <w:t>Points Earned:</w:t>
            </w:r>
          </w:p>
        </w:tc>
        <w:tc>
          <w:tcPr>
            <w:tcW w:w="1590" w:type="dxa"/>
            <w:tcBorders>
              <w:top w:val="outset" w:sz="6" w:space="0" w:color="003366"/>
              <w:left w:val="outset" w:sz="6" w:space="0" w:color="003366"/>
              <w:bottom w:val="outset" w:sz="6" w:space="0" w:color="003366"/>
              <w:right w:val="outset" w:sz="6" w:space="0" w:color="003366"/>
            </w:tcBorders>
            <w:shd w:val="clear" w:color="auto" w:fill="C0C0C0"/>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szCs w:val="24"/>
              </w:rPr>
              <w:t>Comments:</w:t>
            </w: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line="240" w:lineRule="auto"/>
              <w:rPr>
                <w:rFonts w:ascii="Arial" w:eastAsia="Times New Roman" w:hAnsi="Arial" w:cs="Arial"/>
                <w:szCs w:val="24"/>
              </w:rPr>
            </w:pPr>
            <w:r>
              <w:rPr>
                <w:rFonts w:ascii="Arial" w:eastAsia="Times New Roman" w:hAnsi="Arial" w:cs="Arial"/>
                <w:szCs w:val="24"/>
              </w:rPr>
              <w:t> </w:t>
            </w:r>
          </w:p>
        </w:tc>
        <w:tc>
          <w:tcPr>
            <w:tcW w:w="1605" w:type="dxa"/>
            <w:vMerge w:val="restart"/>
            <w:tcBorders>
              <w:top w:val="outset" w:sz="6" w:space="0" w:color="003366"/>
              <w:left w:val="outset" w:sz="6" w:space="0" w:color="003366"/>
              <w:bottom w:val="outset" w:sz="6" w:space="0" w:color="003366"/>
              <w:right w:val="outset" w:sz="6" w:space="0" w:color="003366"/>
            </w:tcBorders>
            <w:hideMark/>
          </w:tcPr>
          <w:p w:rsidR="00AF1F38" w:rsidRPr="005F5050" w:rsidRDefault="00AF1F38">
            <w:pPr>
              <w:spacing w:line="240" w:lineRule="auto"/>
              <w:rPr>
                <w:rFonts w:ascii="Arial" w:eastAsia="Times New Roman" w:hAnsi="Arial" w:cs="Arial"/>
                <w:color w:val="0070C0"/>
                <w:szCs w:val="24"/>
              </w:rPr>
            </w:pPr>
            <w:r>
              <w:rPr>
                <w:rFonts w:ascii="Arial" w:eastAsia="Times New Roman" w:hAnsi="Arial" w:cs="Arial"/>
                <w:szCs w:val="24"/>
              </w:rPr>
              <w:t> </w:t>
            </w:r>
            <w:r w:rsidR="005F5050">
              <w:rPr>
                <w:rFonts w:ascii="Arial" w:eastAsia="Times New Roman" w:hAnsi="Arial" w:cs="Arial"/>
                <w:color w:val="0070C0"/>
                <w:szCs w:val="24"/>
              </w:rPr>
              <w:t>70</w:t>
            </w:r>
          </w:p>
        </w:tc>
        <w:tc>
          <w:tcPr>
            <w:tcW w:w="1590" w:type="dxa"/>
            <w:vMerge w:val="restart"/>
            <w:tcBorders>
              <w:top w:val="outset" w:sz="6" w:space="0" w:color="003366"/>
              <w:left w:val="outset" w:sz="6" w:space="0" w:color="003366"/>
              <w:bottom w:val="outset" w:sz="6" w:space="0" w:color="003366"/>
              <w:right w:val="outset" w:sz="6" w:space="0" w:color="003366"/>
            </w:tcBorders>
            <w:hideMark/>
          </w:tcPr>
          <w:p w:rsidR="00AF1F38" w:rsidRDefault="00AF1F38">
            <w:pPr>
              <w:spacing w:line="240" w:lineRule="auto"/>
              <w:rPr>
                <w:rFonts w:ascii="Arial" w:eastAsia="Times New Roman" w:hAnsi="Arial" w:cs="Arial"/>
                <w:szCs w:val="24"/>
              </w:rPr>
            </w:pPr>
            <w:r>
              <w:rPr>
                <w:rFonts w:ascii="Arial" w:eastAsia="Times New Roman" w:hAnsi="Arial" w:cs="Arial"/>
                <w:szCs w:val="24"/>
              </w:rPr>
              <w:t> </w:t>
            </w:r>
          </w:p>
        </w:tc>
      </w:tr>
      <w:tr w:rsidR="00AF1F38" w:rsidTr="00AF1F38">
        <w:trPr>
          <w:trHeight w:val="2126"/>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All key elements of the assignment are covered in a substantive way.</w:t>
            </w:r>
          </w:p>
          <w:p w:rsidR="00AF1F38" w:rsidRDefault="00AF1F38" w:rsidP="00220140">
            <w:pPr>
              <w:pStyle w:val="ListParagraph"/>
              <w:numPr>
                <w:ilvl w:val="0"/>
                <w:numId w:val="1"/>
              </w:numPr>
              <w:rPr>
                <w:rFonts w:ascii="Arial" w:hAnsi="Arial" w:cs="Arial"/>
                <w:bCs/>
                <w:szCs w:val="24"/>
              </w:rPr>
            </w:pPr>
            <w:r>
              <w:rPr>
                <w:rFonts w:ascii="Arial" w:hAnsi="Arial" w:cs="Arial"/>
                <w:bCs/>
                <w:szCs w:val="24"/>
              </w:rPr>
              <w:t>Description of bioethical dilemma</w:t>
            </w:r>
          </w:p>
          <w:p w:rsidR="00AF1F38" w:rsidRDefault="00AF1F38" w:rsidP="00220140">
            <w:pPr>
              <w:pStyle w:val="ListParagraph"/>
              <w:numPr>
                <w:ilvl w:val="0"/>
                <w:numId w:val="1"/>
              </w:numPr>
              <w:rPr>
                <w:rFonts w:ascii="Arial" w:hAnsi="Arial" w:cs="Arial"/>
                <w:bCs/>
                <w:szCs w:val="24"/>
              </w:rPr>
            </w:pPr>
            <w:r>
              <w:rPr>
                <w:rFonts w:ascii="Arial" w:hAnsi="Arial" w:cs="Arial"/>
                <w:bCs/>
                <w:szCs w:val="24"/>
              </w:rPr>
              <w:t>Identification of key stakeholders</w:t>
            </w:r>
          </w:p>
          <w:p w:rsidR="00AF1F38" w:rsidRDefault="00AF1F38" w:rsidP="00220140">
            <w:pPr>
              <w:pStyle w:val="ListParagraph"/>
              <w:numPr>
                <w:ilvl w:val="0"/>
                <w:numId w:val="1"/>
              </w:numPr>
              <w:rPr>
                <w:rFonts w:ascii="Arial" w:hAnsi="Arial" w:cs="Arial"/>
                <w:bCs/>
                <w:szCs w:val="24"/>
              </w:rPr>
            </w:pPr>
            <w:r>
              <w:rPr>
                <w:rFonts w:ascii="Arial" w:hAnsi="Arial" w:cs="Arial"/>
                <w:bCs/>
                <w:szCs w:val="24"/>
              </w:rPr>
              <w:t>Analyzes conflicting ethical principles</w:t>
            </w:r>
          </w:p>
          <w:p w:rsidR="00AF1F38" w:rsidRDefault="00AF1F38" w:rsidP="00220140">
            <w:pPr>
              <w:pStyle w:val="ListParagraph"/>
              <w:numPr>
                <w:ilvl w:val="0"/>
                <w:numId w:val="1"/>
              </w:numPr>
              <w:rPr>
                <w:rFonts w:ascii="Arial" w:hAnsi="Arial" w:cs="Arial"/>
                <w:bCs/>
                <w:szCs w:val="24"/>
              </w:rPr>
            </w:pPr>
            <w:r>
              <w:rPr>
                <w:rFonts w:ascii="Arial" w:hAnsi="Arial" w:cs="Arial"/>
                <w:bCs/>
                <w:szCs w:val="24"/>
              </w:rPr>
              <w:lastRenderedPageBreak/>
              <w:t>Ethical theory or philosophy identified</w:t>
            </w:r>
          </w:p>
          <w:p w:rsidR="00AF1F38" w:rsidRDefault="00AF1F38" w:rsidP="00220140">
            <w:pPr>
              <w:pStyle w:val="ListParagraph"/>
              <w:numPr>
                <w:ilvl w:val="0"/>
                <w:numId w:val="1"/>
              </w:numPr>
              <w:rPr>
                <w:rFonts w:ascii="Arial" w:hAnsi="Arial" w:cs="Arial"/>
                <w:bCs/>
                <w:szCs w:val="24"/>
              </w:rPr>
            </w:pPr>
            <w:r>
              <w:rPr>
                <w:rFonts w:ascii="Arial" w:hAnsi="Arial" w:cs="Arial"/>
                <w:bCs/>
                <w:szCs w:val="24"/>
              </w:rPr>
              <w:t>Applicable laws or code of ethics standards detailed</w:t>
            </w:r>
          </w:p>
          <w:p w:rsidR="00AF1F38" w:rsidRDefault="00AF1F38" w:rsidP="00220140">
            <w:pPr>
              <w:pStyle w:val="ListParagraph"/>
              <w:numPr>
                <w:ilvl w:val="0"/>
                <w:numId w:val="1"/>
              </w:numPr>
              <w:rPr>
                <w:rFonts w:ascii="Arial" w:hAnsi="Arial" w:cs="Arial"/>
                <w:bCs/>
                <w:szCs w:val="24"/>
              </w:rPr>
            </w:pPr>
            <w:r>
              <w:rPr>
                <w:rFonts w:ascii="Arial" w:hAnsi="Arial" w:cs="Arial"/>
                <w:bCs/>
                <w:szCs w:val="24"/>
              </w:rPr>
              <w:t>Analysis of how healthcare organizations foster ethical environments that help nurses make sound decisions</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lastRenderedPageBreak/>
              <w:t>The content is comprehensive, accurate, and/or persuasive.</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The paper develops a central theme or idea, directed toward the appropriate audience.</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The paper links theory to relevant examples of current experience and industry practice and uses the vocabulary of the theory correctly.</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Major points are stated clearly; are supported by specific details, examples, or analysis; and are organized logically.</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The introduction provides sufficient background on the topic and previews major points.</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The conclusion is logical, flows from the body of the paper, and reviews the major points.</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line="240" w:lineRule="auto"/>
              <w:rPr>
                <w:rFonts w:ascii="Arial" w:eastAsia="Times New Roman" w:hAnsi="Arial" w:cs="Arial"/>
                <w:szCs w:val="24"/>
              </w:rPr>
            </w:pPr>
            <w:r>
              <w:rPr>
                <w:rFonts w:ascii="Arial" w:eastAsia="Times New Roman" w:hAnsi="Arial" w:cs="Arial"/>
                <w:szCs w:val="24"/>
              </w:rPr>
              <w:t> </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shd w:val="clear" w:color="auto" w:fill="C0C0C0"/>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i/>
                <w:iCs/>
                <w:szCs w:val="24"/>
              </w:rPr>
              <w:t xml:space="preserve">Readability and Style  </w:t>
            </w:r>
            <w:r>
              <w:rPr>
                <w:rFonts w:ascii="Arial" w:eastAsia="Times New Roman" w:hAnsi="Arial" w:cs="Arial"/>
                <w:b/>
                <w:bCs/>
                <w:i/>
                <w:iCs/>
                <w:szCs w:val="24"/>
              </w:rPr>
              <w:br/>
              <w:t>15 Points</w:t>
            </w:r>
          </w:p>
        </w:tc>
        <w:tc>
          <w:tcPr>
            <w:tcW w:w="1605" w:type="dxa"/>
            <w:tcBorders>
              <w:top w:val="outset" w:sz="6" w:space="0" w:color="003366"/>
              <w:left w:val="outset" w:sz="6" w:space="0" w:color="003366"/>
              <w:bottom w:val="outset" w:sz="6" w:space="0" w:color="003366"/>
              <w:right w:val="outset" w:sz="6" w:space="0" w:color="003366"/>
            </w:tcBorders>
            <w:shd w:val="clear" w:color="auto" w:fill="C0C0C0"/>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i/>
                <w:iCs/>
                <w:szCs w:val="24"/>
              </w:rPr>
              <w:t>Points Earned</w:t>
            </w:r>
          </w:p>
        </w:tc>
        <w:tc>
          <w:tcPr>
            <w:tcW w:w="1590" w:type="dxa"/>
            <w:tcBorders>
              <w:top w:val="outset" w:sz="6" w:space="0" w:color="003366"/>
              <w:left w:val="outset" w:sz="6" w:space="0" w:color="003366"/>
              <w:bottom w:val="outset" w:sz="6" w:space="0" w:color="003366"/>
              <w:right w:val="outset" w:sz="6" w:space="0" w:color="003366"/>
            </w:tcBorders>
            <w:shd w:val="clear" w:color="auto" w:fill="C0C0C0"/>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szCs w:val="24"/>
              </w:rPr>
              <w:t xml:space="preserve">Comments:  </w:t>
            </w: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line="240" w:lineRule="auto"/>
              <w:rPr>
                <w:rFonts w:ascii="Arial" w:eastAsia="Times New Roman" w:hAnsi="Arial" w:cs="Arial"/>
                <w:szCs w:val="24"/>
              </w:rPr>
            </w:pPr>
            <w:r>
              <w:rPr>
                <w:rFonts w:ascii="Arial" w:eastAsia="Times New Roman" w:hAnsi="Arial" w:cs="Arial"/>
                <w:szCs w:val="24"/>
              </w:rPr>
              <w:t> </w:t>
            </w:r>
          </w:p>
        </w:tc>
        <w:tc>
          <w:tcPr>
            <w:tcW w:w="1605" w:type="dxa"/>
            <w:vMerge w:val="restart"/>
            <w:tcBorders>
              <w:top w:val="outset" w:sz="6" w:space="0" w:color="003366"/>
              <w:left w:val="outset" w:sz="6" w:space="0" w:color="003366"/>
              <w:bottom w:val="outset" w:sz="6" w:space="0" w:color="003366"/>
              <w:right w:val="outset" w:sz="6" w:space="0" w:color="003366"/>
            </w:tcBorders>
            <w:hideMark/>
          </w:tcPr>
          <w:p w:rsidR="00AF1F38" w:rsidRPr="005F5050" w:rsidRDefault="00AF1F38">
            <w:pPr>
              <w:spacing w:line="240" w:lineRule="auto"/>
              <w:rPr>
                <w:rFonts w:ascii="Arial" w:eastAsia="Times New Roman" w:hAnsi="Arial" w:cs="Arial"/>
                <w:color w:val="0070C0"/>
                <w:szCs w:val="24"/>
              </w:rPr>
            </w:pPr>
            <w:r>
              <w:rPr>
                <w:rFonts w:ascii="Arial" w:eastAsia="Times New Roman" w:hAnsi="Arial" w:cs="Arial"/>
                <w:szCs w:val="24"/>
              </w:rPr>
              <w:t> </w:t>
            </w:r>
            <w:r w:rsidR="005F5050">
              <w:rPr>
                <w:rFonts w:ascii="Arial" w:eastAsia="Times New Roman" w:hAnsi="Arial" w:cs="Arial"/>
                <w:color w:val="0070C0"/>
                <w:szCs w:val="24"/>
              </w:rPr>
              <w:t>10</w:t>
            </w:r>
          </w:p>
        </w:tc>
        <w:tc>
          <w:tcPr>
            <w:tcW w:w="1590" w:type="dxa"/>
            <w:vMerge w:val="restart"/>
            <w:tcBorders>
              <w:top w:val="outset" w:sz="6" w:space="0" w:color="003366"/>
              <w:left w:val="outset" w:sz="6" w:space="0" w:color="003366"/>
              <w:bottom w:val="outset" w:sz="6" w:space="0" w:color="003366"/>
              <w:right w:val="outset" w:sz="6" w:space="0" w:color="003366"/>
            </w:tcBorders>
            <w:hideMark/>
          </w:tcPr>
          <w:p w:rsidR="00AF1F38" w:rsidRDefault="00AF1F38">
            <w:pPr>
              <w:spacing w:line="240" w:lineRule="auto"/>
              <w:rPr>
                <w:rFonts w:ascii="Arial" w:eastAsia="Times New Roman" w:hAnsi="Arial" w:cs="Arial"/>
                <w:szCs w:val="24"/>
              </w:rPr>
            </w:pPr>
            <w:r>
              <w:rPr>
                <w:rFonts w:ascii="Arial" w:eastAsia="Times New Roman" w:hAnsi="Arial" w:cs="Arial"/>
                <w:szCs w:val="24"/>
              </w:rPr>
              <w:t> </w:t>
            </w:r>
            <w:r w:rsidR="005F5050">
              <w:rPr>
                <w:rFonts w:ascii="Arial" w:eastAsia="Times New Roman" w:hAnsi="Arial" w:cs="Arial"/>
                <w:szCs w:val="24"/>
              </w:rPr>
              <w:t xml:space="preserve">Some sentences were confusing especially when directly quoted material was incorporated into the middle of a sentence. The </w:t>
            </w:r>
            <w:r w:rsidR="00970CE7">
              <w:rPr>
                <w:rFonts w:ascii="Arial" w:eastAsia="Times New Roman" w:hAnsi="Arial" w:cs="Arial"/>
                <w:szCs w:val="24"/>
              </w:rPr>
              <w:t xml:space="preserve">tense did not always match. </w:t>
            </w: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Paragraph transitions are present and logical and maintain the flow throughout the paper.</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 xml:space="preserve">The tone is appropriate to the content and assignment. </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Sentences are complete, clear, and concise.</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Sentences are well-constructed, with consistently strong, varied sentences.</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Sentence transitions are present and maintain the flow of thought.</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line="240" w:lineRule="auto"/>
              <w:rPr>
                <w:rFonts w:ascii="Arial" w:eastAsia="Times New Roman" w:hAnsi="Arial" w:cs="Arial"/>
                <w:szCs w:val="24"/>
              </w:rPr>
            </w:pPr>
            <w:r>
              <w:rPr>
                <w:rFonts w:ascii="Arial" w:eastAsia="Times New Roman" w:hAnsi="Arial" w:cs="Arial"/>
                <w:szCs w:val="24"/>
              </w:rPr>
              <w:t> </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shd w:val="clear" w:color="auto" w:fill="C0C0C0"/>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i/>
                <w:iCs/>
                <w:szCs w:val="24"/>
              </w:rPr>
              <w:t xml:space="preserve">Mechanics </w:t>
            </w:r>
            <w:r>
              <w:rPr>
                <w:rFonts w:ascii="Arial" w:eastAsia="Times New Roman" w:hAnsi="Arial" w:cs="Arial"/>
                <w:b/>
                <w:bCs/>
                <w:i/>
                <w:iCs/>
                <w:szCs w:val="24"/>
              </w:rPr>
              <w:br/>
            </w:r>
            <w:r>
              <w:rPr>
                <w:rFonts w:ascii="Arial" w:eastAsia="Times New Roman" w:hAnsi="Arial" w:cs="Arial"/>
                <w:b/>
                <w:bCs/>
                <w:i/>
                <w:iCs/>
                <w:szCs w:val="24"/>
              </w:rPr>
              <w:lastRenderedPageBreak/>
              <w:t>15 Points</w:t>
            </w:r>
          </w:p>
        </w:tc>
        <w:tc>
          <w:tcPr>
            <w:tcW w:w="1605" w:type="dxa"/>
            <w:tcBorders>
              <w:top w:val="outset" w:sz="6" w:space="0" w:color="003366"/>
              <w:left w:val="outset" w:sz="6" w:space="0" w:color="003366"/>
              <w:bottom w:val="outset" w:sz="6" w:space="0" w:color="003366"/>
              <w:right w:val="outset" w:sz="6" w:space="0" w:color="003366"/>
            </w:tcBorders>
            <w:shd w:val="clear" w:color="auto" w:fill="C0C0C0"/>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i/>
                <w:iCs/>
                <w:szCs w:val="24"/>
              </w:rPr>
              <w:lastRenderedPageBreak/>
              <w:t xml:space="preserve">Points </w:t>
            </w:r>
            <w:r>
              <w:rPr>
                <w:rFonts w:ascii="Arial" w:eastAsia="Times New Roman" w:hAnsi="Arial" w:cs="Arial"/>
                <w:b/>
                <w:bCs/>
                <w:i/>
                <w:iCs/>
                <w:szCs w:val="24"/>
              </w:rPr>
              <w:lastRenderedPageBreak/>
              <w:t>Earned</w:t>
            </w:r>
          </w:p>
        </w:tc>
        <w:tc>
          <w:tcPr>
            <w:tcW w:w="1590" w:type="dxa"/>
            <w:tcBorders>
              <w:top w:val="outset" w:sz="6" w:space="0" w:color="003366"/>
              <w:left w:val="outset" w:sz="6" w:space="0" w:color="003366"/>
              <w:bottom w:val="outset" w:sz="6" w:space="0" w:color="003366"/>
              <w:right w:val="outset" w:sz="6" w:space="0" w:color="003366"/>
            </w:tcBorders>
            <w:shd w:val="clear" w:color="auto" w:fill="C0C0C0"/>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szCs w:val="24"/>
              </w:rPr>
              <w:lastRenderedPageBreak/>
              <w:t xml:space="preserve">Comments:  </w:t>
            </w: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line="240" w:lineRule="auto"/>
              <w:rPr>
                <w:rFonts w:ascii="Arial" w:eastAsia="Times New Roman" w:hAnsi="Arial" w:cs="Arial"/>
                <w:szCs w:val="24"/>
              </w:rPr>
            </w:pPr>
            <w:r>
              <w:rPr>
                <w:rFonts w:ascii="Arial" w:eastAsia="Times New Roman" w:hAnsi="Arial" w:cs="Arial"/>
                <w:szCs w:val="24"/>
              </w:rPr>
              <w:lastRenderedPageBreak/>
              <w:t> </w:t>
            </w:r>
          </w:p>
        </w:tc>
        <w:tc>
          <w:tcPr>
            <w:tcW w:w="1605" w:type="dxa"/>
            <w:vMerge w:val="restart"/>
            <w:tcBorders>
              <w:top w:val="outset" w:sz="6" w:space="0" w:color="003366"/>
              <w:left w:val="outset" w:sz="6" w:space="0" w:color="003366"/>
              <w:bottom w:val="outset" w:sz="6" w:space="0" w:color="003366"/>
              <w:right w:val="outset" w:sz="6" w:space="0" w:color="003366"/>
            </w:tcBorders>
            <w:hideMark/>
          </w:tcPr>
          <w:p w:rsidR="00AF1F38" w:rsidRDefault="00AF1F38">
            <w:pPr>
              <w:spacing w:line="240" w:lineRule="auto"/>
              <w:rPr>
                <w:rFonts w:ascii="Arial" w:eastAsia="Times New Roman" w:hAnsi="Arial" w:cs="Arial"/>
                <w:szCs w:val="24"/>
              </w:rPr>
            </w:pPr>
            <w:r>
              <w:rPr>
                <w:rFonts w:ascii="Arial" w:eastAsia="Times New Roman" w:hAnsi="Arial" w:cs="Arial"/>
                <w:szCs w:val="24"/>
              </w:rPr>
              <w:t> </w:t>
            </w:r>
          </w:p>
          <w:p w:rsidR="005F5050" w:rsidRPr="005F5050" w:rsidRDefault="005F5050">
            <w:pPr>
              <w:spacing w:line="240" w:lineRule="auto"/>
              <w:rPr>
                <w:rFonts w:ascii="Arial" w:eastAsia="Times New Roman" w:hAnsi="Arial" w:cs="Arial"/>
                <w:color w:val="0070C0"/>
                <w:szCs w:val="24"/>
              </w:rPr>
            </w:pPr>
            <w:r>
              <w:rPr>
                <w:rFonts w:ascii="Arial" w:eastAsia="Times New Roman" w:hAnsi="Arial" w:cs="Arial"/>
                <w:color w:val="0070C0"/>
                <w:szCs w:val="24"/>
              </w:rPr>
              <w:t>0</w:t>
            </w:r>
          </w:p>
        </w:tc>
        <w:tc>
          <w:tcPr>
            <w:tcW w:w="1590" w:type="dxa"/>
            <w:vMerge w:val="restart"/>
            <w:tcBorders>
              <w:top w:val="outset" w:sz="6" w:space="0" w:color="003366"/>
              <w:left w:val="outset" w:sz="6" w:space="0" w:color="003366"/>
              <w:bottom w:val="outset" w:sz="6" w:space="0" w:color="003366"/>
              <w:right w:val="outset" w:sz="6" w:space="0" w:color="003366"/>
            </w:tcBorders>
            <w:hideMark/>
          </w:tcPr>
          <w:p w:rsidR="00AF1F38" w:rsidRDefault="00AF1F38">
            <w:pPr>
              <w:spacing w:line="240" w:lineRule="auto"/>
              <w:rPr>
                <w:rFonts w:ascii="Arial" w:eastAsia="Times New Roman" w:hAnsi="Arial" w:cs="Arial"/>
                <w:szCs w:val="24"/>
              </w:rPr>
            </w:pPr>
            <w:r>
              <w:rPr>
                <w:rFonts w:ascii="Arial" w:eastAsia="Times New Roman" w:hAnsi="Arial" w:cs="Arial"/>
                <w:szCs w:val="24"/>
              </w:rPr>
              <w:t> </w:t>
            </w:r>
          </w:p>
          <w:p w:rsidR="005F5050" w:rsidRDefault="005F5050" w:rsidP="005F5050">
            <w:pPr>
              <w:spacing w:line="240" w:lineRule="auto"/>
              <w:rPr>
                <w:rFonts w:ascii="Arial" w:eastAsia="Times New Roman" w:hAnsi="Arial" w:cs="Arial"/>
                <w:szCs w:val="24"/>
              </w:rPr>
            </w:pPr>
            <w:r>
              <w:rPr>
                <w:rFonts w:ascii="Arial" w:eastAsia="Times New Roman" w:hAnsi="Arial" w:cs="Arial"/>
                <w:szCs w:val="24"/>
              </w:rPr>
              <w:t>Much of the paper is plagiarized because of improper citation. Changing a word or two or omitting a few words or phrase does not constitute paraphrasing so the original work needs to be credited for the information. After a while I stopped comparing the original source to your paper, but assume more content was plagiarized.</w:t>
            </w: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The paper, including the title page, reference page, and body, follow APA guidelines for format.</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Citations of five original works within the body of the paper follow APA guidelines.</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The paper is laid out with effective use of headings, font styles, and white space.</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Rules of grammar, usage, and punctuation are followed.</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Spelling is correct.</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line="240" w:lineRule="auto"/>
              <w:rPr>
                <w:rFonts w:ascii="Arial" w:eastAsia="Times New Roman" w:hAnsi="Arial" w:cs="Arial"/>
                <w:szCs w:val="24"/>
              </w:rPr>
            </w:pPr>
            <w:r>
              <w:rPr>
                <w:rFonts w:ascii="Arial" w:eastAsia="Times New Roman" w:hAnsi="Arial" w:cs="Arial"/>
                <w:szCs w:val="24"/>
              </w:rPr>
              <w:t> </w:t>
            </w: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c>
          <w:tcPr>
            <w:tcW w:w="0" w:type="auto"/>
            <w:vMerge/>
            <w:tcBorders>
              <w:top w:val="outset" w:sz="6" w:space="0" w:color="003366"/>
              <w:left w:val="outset" w:sz="6" w:space="0" w:color="003366"/>
              <w:bottom w:val="outset" w:sz="6" w:space="0" w:color="003366"/>
              <w:right w:val="outset" w:sz="6" w:space="0" w:color="003366"/>
            </w:tcBorders>
            <w:vAlign w:val="center"/>
            <w:hideMark/>
          </w:tcPr>
          <w:p w:rsidR="00AF1F38" w:rsidRDefault="00AF1F38">
            <w:pPr>
              <w:spacing w:line="240" w:lineRule="auto"/>
              <w:rPr>
                <w:rFonts w:ascii="Arial" w:eastAsia="Times New Roman" w:hAnsi="Arial" w:cs="Arial"/>
                <w:szCs w:val="24"/>
              </w:rPr>
            </w:pP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shd w:val="clear" w:color="auto" w:fill="99CCFF"/>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i/>
                <w:iCs/>
                <w:szCs w:val="24"/>
              </w:rPr>
              <w:t xml:space="preserve">Total 100 </w:t>
            </w:r>
            <w:r>
              <w:rPr>
                <w:rFonts w:ascii="Arial" w:eastAsia="Times New Roman" w:hAnsi="Arial" w:cs="Arial"/>
                <w:b/>
                <w:bCs/>
                <w:i/>
                <w:iCs/>
                <w:szCs w:val="24"/>
              </w:rPr>
              <w:br/>
              <w:t>Points</w:t>
            </w:r>
          </w:p>
        </w:tc>
        <w:tc>
          <w:tcPr>
            <w:tcW w:w="1605" w:type="dxa"/>
            <w:tcBorders>
              <w:top w:val="outset" w:sz="6" w:space="0" w:color="003366"/>
              <w:left w:val="outset" w:sz="6" w:space="0" w:color="003366"/>
              <w:bottom w:val="outset" w:sz="6" w:space="0" w:color="003366"/>
              <w:right w:val="outset" w:sz="6" w:space="0" w:color="003366"/>
            </w:tcBorders>
            <w:shd w:val="clear" w:color="auto" w:fill="99CCFF"/>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i/>
                <w:iCs/>
                <w:szCs w:val="24"/>
              </w:rPr>
              <w:t>Points Earned</w:t>
            </w:r>
          </w:p>
        </w:tc>
        <w:tc>
          <w:tcPr>
            <w:tcW w:w="1590" w:type="dxa"/>
            <w:tcBorders>
              <w:top w:val="outset" w:sz="6" w:space="0" w:color="003366"/>
              <w:left w:val="outset" w:sz="6" w:space="0" w:color="003366"/>
              <w:bottom w:val="outset" w:sz="6" w:space="0" w:color="003366"/>
              <w:right w:val="outset" w:sz="6" w:space="0" w:color="003366"/>
            </w:tcBorders>
            <w:shd w:val="clear" w:color="auto" w:fill="99CCFF"/>
            <w:hideMark/>
          </w:tcPr>
          <w:p w:rsidR="00AF1F38" w:rsidRDefault="00AF1F38">
            <w:pPr>
              <w:spacing w:before="100" w:beforeAutospacing="1" w:after="100" w:afterAutospacing="1" w:line="240" w:lineRule="auto"/>
              <w:rPr>
                <w:rFonts w:ascii="Arial" w:eastAsia="Times New Roman" w:hAnsi="Arial" w:cs="Arial"/>
                <w:szCs w:val="24"/>
              </w:rPr>
            </w:pPr>
            <w:r>
              <w:rPr>
                <w:rFonts w:ascii="Arial" w:eastAsia="Times New Roman" w:hAnsi="Arial" w:cs="Arial"/>
                <w:b/>
                <w:bCs/>
                <w:szCs w:val="24"/>
              </w:rPr>
              <w:t>Comments:</w:t>
            </w:r>
          </w:p>
        </w:tc>
      </w:tr>
      <w:tr w:rsidR="00AF1F38" w:rsidTr="00AF1F38">
        <w:trPr>
          <w:tblCellSpacing w:w="7" w:type="dxa"/>
          <w:jc w:val="center"/>
        </w:trPr>
        <w:tc>
          <w:tcPr>
            <w:tcW w:w="5355" w:type="dxa"/>
            <w:tcBorders>
              <w:top w:val="outset" w:sz="6" w:space="0" w:color="003366"/>
              <w:left w:val="outset" w:sz="6" w:space="0" w:color="003366"/>
              <w:bottom w:val="outset" w:sz="6" w:space="0" w:color="003366"/>
              <w:right w:val="outset" w:sz="6" w:space="0" w:color="003366"/>
            </w:tcBorders>
            <w:hideMark/>
          </w:tcPr>
          <w:p w:rsidR="00AF1F38" w:rsidRDefault="00AF1F38">
            <w:pPr>
              <w:spacing w:line="240" w:lineRule="auto"/>
              <w:rPr>
                <w:rFonts w:ascii="Arial" w:eastAsia="Times New Roman" w:hAnsi="Arial" w:cs="Arial"/>
                <w:szCs w:val="24"/>
              </w:rPr>
            </w:pPr>
            <w:r>
              <w:rPr>
                <w:rFonts w:ascii="Arial" w:eastAsia="Times New Roman" w:hAnsi="Arial" w:cs="Arial"/>
                <w:szCs w:val="24"/>
              </w:rPr>
              <w:t> </w:t>
            </w:r>
          </w:p>
        </w:tc>
        <w:tc>
          <w:tcPr>
            <w:tcW w:w="1605" w:type="dxa"/>
            <w:tcBorders>
              <w:top w:val="outset" w:sz="6" w:space="0" w:color="003366"/>
              <w:left w:val="outset" w:sz="6" w:space="0" w:color="003366"/>
              <w:bottom w:val="outset" w:sz="6" w:space="0" w:color="003366"/>
              <w:right w:val="outset" w:sz="6" w:space="0" w:color="003366"/>
            </w:tcBorders>
            <w:hideMark/>
          </w:tcPr>
          <w:p w:rsidR="00AF1F38" w:rsidRPr="00970CE7" w:rsidRDefault="00AF1F38">
            <w:pPr>
              <w:spacing w:line="240" w:lineRule="auto"/>
              <w:rPr>
                <w:rFonts w:ascii="Arial" w:eastAsia="Times New Roman" w:hAnsi="Arial" w:cs="Arial"/>
                <w:color w:val="0070C0"/>
                <w:szCs w:val="24"/>
              </w:rPr>
            </w:pPr>
            <w:r>
              <w:rPr>
                <w:rFonts w:ascii="Arial" w:eastAsia="Times New Roman" w:hAnsi="Arial" w:cs="Arial"/>
                <w:szCs w:val="24"/>
              </w:rPr>
              <w:t> </w:t>
            </w:r>
            <w:r w:rsidR="00970CE7">
              <w:rPr>
                <w:rFonts w:ascii="Arial" w:eastAsia="Times New Roman" w:hAnsi="Arial" w:cs="Arial"/>
                <w:color w:val="0070C0"/>
                <w:szCs w:val="24"/>
              </w:rPr>
              <w:t>80</w:t>
            </w:r>
          </w:p>
        </w:tc>
        <w:tc>
          <w:tcPr>
            <w:tcW w:w="1590" w:type="dxa"/>
            <w:tcBorders>
              <w:top w:val="outset" w:sz="6" w:space="0" w:color="003366"/>
              <w:left w:val="outset" w:sz="6" w:space="0" w:color="003366"/>
              <w:bottom w:val="outset" w:sz="6" w:space="0" w:color="003366"/>
              <w:right w:val="outset" w:sz="6" w:space="0" w:color="003366"/>
            </w:tcBorders>
            <w:hideMark/>
          </w:tcPr>
          <w:p w:rsidR="00AF1F38" w:rsidRPr="00970CE7" w:rsidRDefault="00AF1F38">
            <w:pPr>
              <w:spacing w:line="240" w:lineRule="auto"/>
              <w:rPr>
                <w:rFonts w:ascii="Arial" w:eastAsia="Times New Roman" w:hAnsi="Arial" w:cs="Arial"/>
                <w:color w:val="0070C0"/>
                <w:szCs w:val="24"/>
              </w:rPr>
            </w:pPr>
          </w:p>
        </w:tc>
      </w:tr>
    </w:tbl>
    <w:p w:rsidR="009A7CB0" w:rsidRPr="00B067A5" w:rsidRDefault="009A7CB0" w:rsidP="00970CE7">
      <w:pPr>
        <w:pStyle w:val="APABody"/>
        <w:ind w:firstLine="0"/>
      </w:pPr>
      <w:bookmarkStart w:id="21" w:name="_GoBack"/>
      <w:bookmarkEnd w:id="21"/>
    </w:p>
    <w:sectPr w:rsidR="009A7CB0" w:rsidRPr="00B067A5" w:rsidSect="009A7CB0">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isha A. Betka" w:date="2011-11-16T21:14:00Z" w:initials="AAB">
    <w:p w:rsidR="00C558E8" w:rsidRDefault="00C558E8">
      <w:pPr>
        <w:pStyle w:val="CommentText"/>
      </w:pPr>
      <w:r>
        <w:rPr>
          <w:rStyle w:val="CommentReference"/>
        </w:rPr>
        <w:annotationRef/>
      </w:r>
      <w:r>
        <w:t>These dates are not possessive so the apostrophe should be deleted.</w:t>
      </w:r>
    </w:p>
  </w:comment>
  <w:comment w:id="1" w:author="Alisha A. Betka" w:date="2011-11-16T21:37:00Z" w:initials="AAB">
    <w:p w:rsidR="00302F9D" w:rsidRDefault="00302F9D">
      <w:pPr>
        <w:pStyle w:val="CommentText"/>
      </w:pPr>
      <w:r>
        <w:rPr>
          <w:rStyle w:val="CommentReference"/>
        </w:rPr>
        <w:annotationRef/>
      </w:r>
      <w:r>
        <w:t>Direct quotations taken from a source must</w:t>
      </w:r>
      <w:r w:rsidR="00304CD3">
        <w:t xml:space="preserve"> include a page number citation. Also quotations longer than 40 words are placed in a block quote.</w:t>
      </w:r>
    </w:p>
  </w:comment>
  <w:comment w:id="2" w:author="Alisha A. Betka" w:date="2011-11-16T21:38:00Z" w:initials="AAB">
    <w:p w:rsidR="00304CD3" w:rsidRDefault="00304CD3">
      <w:pPr>
        <w:pStyle w:val="CommentText"/>
      </w:pPr>
      <w:r>
        <w:rPr>
          <w:rStyle w:val="CommentReference"/>
        </w:rPr>
        <w:annotationRef/>
      </w:r>
      <w:r>
        <w:t>Stated, the article was written in the past.</w:t>
      </w:r>
    </w:p>
  </w:comment>
  <w:comment w:id="3" w:author="Alisha A. Betka" w:date="2011-11-16T21:46:00Z" w:initials="AAB">
    <w:p w:rsidR="00304CD3" w:rsidRDefault="00304CD3">
      <w:pPr>
        <w:pStyle w:val="CommentText"/>
      </w:pPr>
      <w:r>
        <w:rPr>
          <w:rStyle w:val="CommentReference"/>
        </w:rPr>
        <w:annotationRef/>
      </w:r>
      <w:r>
        <w:t>Stick with the original wording. It makes more sense: reversal of clinical death.</w:t>
      </w:r>
    </w:p>
  </w:comment>
  <w:comment w:id="4" w:author="Alisha A. Betka" w:date="2011-11-16T22:11:00Z" w:initials="AAB">
    <w:p w:rsidR="00B74EED" w:rsidRDefault="00B74EED">
      <w:pPr>
        <w:pStyle w:val="CommentText"/>
      </w:pPr>
      <w:r>
        <w:rPr>
          <w:rStyle w:val="CommentReference"/>
        </w:rPr>
        <w:annotationRef/>
      </w:r>
      <w:r>
        <w:t>of</w:t>
      </w:r>
    </w:p>
  </w:comment>
  <w:comment w:id="5" w:author="Alisha A. Betka" w:date="2011-11-16T22:13:00Z" w:initials="AAB">
    <w:p w:rsidR="00B74EED" w:rsidRDefault="00B74EED">
      <w:pPr>
        <w:pStyle w:val="CommentText"/>
      </w:pPr>
      <w:r>
        <w:rPr>
          <w:rStyle w:val="CommentReference"/>
        </w:rPr>
        <w:annotationRef/>
      </w:r>
      <w:r>
        <w:t>autonomously and to make…</w:t>
      </w:r>
    </w:p>
  </w:comment>
  <w:comment w:id="6" w:author="Alisha A. Betka" w:date="2011-11-16T22:41:00Z" w:initials="AAB">
    <w:p w:rsidR="002B48B5" w:rsidRDefault="002B48B5">
      <w:pPr>
        <w:pStyle w:val="CommentText"/>
      </w:pPr>
      <w:r>
        <w:rPr>
          <w:rStyle w:val="CommentReference"/>
        </w:rPr>
        <w:annotationRef/>
      </w:r>
      <w:r>
        <w:t>delete comma</w:t>
      </w:r>
    </w:p>
  </w:comment>
  <w:comment w:id="7" w:author="Alisha A. Betka" w:date="2011-11-16T22:14:00Z" w:initials="AAB">
    <w:p w:rsidR="00B74EED" w:rsidRDefault="00B74EED">
      <w:pPr>
        <w:pStyle w:val="CommentText"/>
      </w:pPr>
      <w:r>
        <w:rPr>
          <w:rStyle w:val="CommentReference"/>
        </w:rPr>
        <w:annotationRef/>
      </w:r>
      <w:r>
        <w:t>change to “because”</w:t>
      </w:r>
    </w:p>
  </w:comment>
  <w:comment w:id="8" w:author="Alisha A. Betka" w:date="2011-11-16T22:17:00Z" w:initials="AAB">
    <w:p w:rsidR="00B74EED" w:rsidRDefault="00B74EED">
      <w:pPr>
        <w:pStyle w:val="CommentText"/>
      </w:pPr>
      <w:r>
        <w:rPr>
          <w:rStyle w:val="CommentReference"/>
        </w:rPr>
        <w:annotationRef/>
      </w:r>
      <w:r>
        <w:t>aceeptable</w:t>
      </w:r>
    </w:p>
  </w:comment>
  <w:comment w:id="9" w:author="Alisha A. Betka" w:date="2011-11-16T22:18:00Z" w:initials="AAB">
    <w:p w:rsidR="00B74EED" w:rsidRDefault="00B74EED">
      <w:pPr>
        <w:pStyle w:val="CommentText"/>
      </w:pPr>
      <w:r>
        <w:rPr>
          <w:rStyle w:val="CommentReference"/>
        </w:rPr>
        <w:annotationRef/>
      </w:r>
      <w:r>
        <w:t>enabling</w:t>
      </w:r>
    </w:p>
  </w:comment>
  <w:comment w:id="10" w:author="Alisha A. Betka" w:date="2011-11-16T22:18:00Z" w:initials="AAB">
    <w:p w:rsidR="005158E7" w:rsidRDefault="005158E7">
      <w:pPr>
        <w:pStyle w:val="CommentText"/>
      </w:pPr>
      <w:r>
        <w:rPr>
          <w:rStyle w:val="CommentReference"/>
        </w:rPr>
        <w:annotationRef/>
      </w:r>
      <w:r>
        <w:t>argued</w:t>
      </w:r>
    </w:p>
  </w:comment>
  <w:comment w:id="11" w:author="Alisha A. Betka" w:date="2011-11-16T22:30:00Z" w:initials="AAB">
    <w:p w:rsidR="005B72E6" w:rsidRDefault="005B72E6">
      <w:pPr>
        <w:pStyle w:val="CommentText"/>
      </w:pPr>
      <w:r>
        <w:rPr>
          <w:rStyle w:val="CommentReference"/>
        </w:rPr>
        <w:annotationRef/>
      </w:r>
      <w:r>
        <w:t>suggested</w:t>
      </w:r>
    </w:p>
  </w:comment>
  <w:comment w:id="12" w:author="Alisha A. Betka" w:date="2011-11-16T22:43:00Z" w:initials="AAB">
    <w:p w:rsidR="002B48B5" w:rsidRDefault="002B48B5">
      <w:pPr>
        <w:pStyle w:val="CommentText"/>
      </w:pPr>
      <w:r>
        <w:rPr>
          <w:rStyle w:val="CommentReference"/>
        </w:rPr>
        <w:annotationRef/>
      </w:r>
      <w:r>
        <w:t>Use “that” for a restrictive phrase</w:t>
      </w:r>
    </w:p>
  </w:comment>
  <w:comment w:id="14" w:author="Alisha A. Betka" w:date="2011-11-16T22:35:00Z" w:initials="AAB">
    <w:p w:rsidR="005B72E6" w:rsidRDefault="005B72E6">
      <w:pPr>
        <w:pStyle w:val="CommentText"/>
      </w:pPr>
      <w:r>
        <w:rPr>
          <w:rStyle w:val="CommentReference"/>
        </w:rPr>
        <w:annotationRef/>
      </w:r>
      <w:r>
        <w:t>described</w:t>
      </w:r>
    </w:p>
  </w:comment>
  <w:comment w:id="15" w:author="Alisha A. Betka" w:date="2011-11-16T22:35:00Z" w:initials="AAB">
    <w:p w:rsidR="005B72E6" w:rsidRDefault="005B72E6">
      <w:pPr>
        <w:pStyle w:val="CommentText"/>
      </w:pPr>
      <w:r>
        <w:rPr>
          <w:rStyle w:val="CommentReference"/>
        </w:rPr>
        <w:annotationRef/>
      </w:r>
      <w:r>
        <w:t>delete hyphen</w:t>
      </w:r>
    </w:p>
  </w:comment>
  <w:comment w:id="16" w:author="Alisha A. Betka" w:date="2011-11-16T22:45:00Z" w:initials="AAB">
    <w:p w:rsidR="002B48B5" w:rsidRDefault="002B48B5">
      <w:pPr>
        <w:pStyle w:val="CommentText"/>
      </w:pPr>
      <w:r>
        <w:rPr>
          <w:rStyle w:val="CommentReference"/>
        </w:rPr>
        <w:annotationRef/>
      </w:r>
      <w:r>
        <w:t>colon</w:t>
      </w:r>
    </w:p>
  </w:comment>
  <w:comment w:id="17" w:author="Alisha A. Betka" w:date="2011-11-16T22:45:00Z" w:initials="AAB">
    <w:p w:rsidR="002B48B5" w:rsidRDefault="002B48B5">
      <w:pPr>
        <w:pStyle w:val="CommentText"/>
      </w:pPr>
      <w:r>
        <w:rPr>
          <w:rStyle w:val="CommentReference"/>
        </w:rPr>
        <w:annotationRef/>
      </w:r>
      <w:r>
        <w:t>colon</w:t>
      </w:r>
    </w:p>
  </w:comment>
  <w:comment w:id="18" w:author="Alisha A. Betka" w:date="2011-11-16T22:47:00Z" w:initials="AAB">
    <w:p w:rsidR="002B48B5" w:rsidRDefault="002B48B5">
      <w:pPr>
        <w:pStyle w:val="CommentText"/>
      </w:pPr>
      <w:r>
        <w:rPr>
          <w:rStyle w:val="CommentReference"/>
        </w:rPr>
        <w:annotationRef/>
      </w:r>
      <w:r>
        <w:t>hyphenate</w:t>
      </w:r>
    </w:p>
  </w:comment>
  <w:comment w:id="19" w:author="Alisha A. Betka" w:date="2011-11-16T22:49:00Z" w:initials="AAB">
    <w:p w:rsidR="002B48B5" w:rsidRDefault="002B48B5">
      <w:pPr>
        <w:pStyle w:val="CommentText"/>
      </w:pPr>
      <w:r>
        <w:rPr>
          <w:rStyle w:val="CommentReference"/>
        </w:rPr>
        <w:annotationRef/>
      </w:r>
      <w:r>
        <w:t>He/she is legal shorthand. For academic writing this should be spelled out as he or she.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C78" w:rsidRDefault="00CF4C78" w:rsidP="00B32BB6">
      <w:pPr>
        <w:spacing w:line="240" w:lineRule="auto"/>
      </w:pPr>
      <w:r>
        <w:separator/>
      </w:r>
    </w:p>
  </w:endnote>
  <w:endnote w:type="continuationSeparator" w:id="0">
    <w:p w:rsidR="00CF4C78" w:rsidRDefault="00CF4C78"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C78" w:rsidRDefault="00CF4C78" w:rsidP="00B32BB6">
      <w:pPr>
        <w:spacing w:line="240" w:lineRule="auto"/>
      </w:pPr>
      <w:r>
        <w:separator/>
      </w:r>
    </w:p>
  </w:footnote>
  <w:footnote w:type="continuationSeparator" w:id="0">
    <w:p w:rsidR="00CF4C78" w:rsidRDefault="00CF4C78"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B0" w:rsidRPr="009A7CB0" w:rsidRDefault="009A7CB0" w:rsidP="009A7CB0">
    <w:pPr>
      <w:pStyle w:val="APAHeader"/>
      <w:tabs>
        <w:tab w:val="right" w:pos="9360"/>
      </w:tabs>
    </w:pPr>
    <w:r>
      <w:t>ETHICAL DILEMMAS IN FUTILE CARDIOPULMONARY RESUSCITATION</w:t>
    </w:r>
    <w:r>
      <w:tab/>
    </w:r>
    <w:r w:rsidR="007A209F">
      <w:fldChar w:fldCharType="begin"/>
    </w:r>
    <w:r>
      <w:instrText xml:space="preserve"> PAGE  \* MERGEFORMAT </w:instrText>
    </w:r>
    <w:r w:rsidR="007A209F">
      <w:fldChar w:fldCharType="separate"/>
    </w:r>
    <w:r w:rsidR="00925939">
      <w:rPr>
        <w:noProof/>
      </w:rPr>
      <w:t>9</w:t>
    </w:r>
    <w:r w:rsidR="007A209F">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B0" w:rsidRPr="009A7CB0" w:rsidRDefault="009A7CB0" w:rsidP="009A7CB0">
    <w:pPr>
      <w:pStyle w:val="APAHeader"/>
      <w:tabs>
        <w:tab w:val="right" w:pos="9360"/>
      </w:tabs>
    </w:pPr>
    <w:r>
      <w:t>Running head: ETHICAL DILEMMAS IN FUTILE CARDIOPULMONARY RESUSCITATION</w:t>
    </w:r>
    <w:r>
      <w:tab/>
    </w:r>
    <w:r w:rsidR="007A209F">
      <w:fldChar w:fldCharType="begin"/>
    </w:r>
    <w:r>
      <w:instrText xml:space="preserve"> PAGE  \* MERGEFORMAT </w:instrText>
    </w:r>
    <w:r w:rsidR="007A209F">
      <w:fldChar w:fldCharType="separate"/>
    </w:r>
    <w:r w:rsidR="00925939">
      <w:rPr>
        <w:noProof/>
      </w:rPr>
      <w:t>1</w:t>
    </w:r>
    <w:r w:rsidR="007A209F">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445D7"/>
    <w:multiLevelType w:val="hybridMultilevel"/>
    <w:tmpl w:val="E6969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1"/>
    <w:footnote w:id="0"/>
  </w:footnotePr>
  <w:endnotePr>
    <w:endnote w:id="-1"/>
    <w:endnote w:id="0"/>
  </w:endnotePr>
  <w:compat/>
  <w:docVars>
    <w:docVar w:name="rpsAdvancedSort" w:val="True"/>
    <w:docVar w:name="rpsAutoSort" w:val="True"/>
    <w:docVar w:name="rpsCitationList" w:val="|Stedman'S Medical Dictionary(2006)|Bishop, Brothers, Perry, Ahmad(2010)|Mohammed, Peter(2009)|Berger(2010)|Butts, Rich(2008)|Bremer, Sandman(2011)|Kelly(2007)|"/>
    <w:docVar w:name="rpsInsertCitation" w:val="True"/>
    <w:docVar w:name="rpsReferencePageCreated" w:val="True"/>
    <w:docVar w:name="rpsSaveCitation" w:val="True"/>
  </w:docVars>
  <w:rsids>
    <w:rsidRoot w:val="009A7CB0"/>
    <w:rsid w:val="00001605"/>
    <w:rsid w:val="000045D4"/>
    <w:rsid w:val="00004D04"/>
    <w:rsid w:val="00005BC0"/>
    <w:rsid w:val="00007E24"/>
    <w:rsid w:val="00011D3E"/>
    <w:rsid w:val="00013431"/>
    <w:rsid w:val="000143E9"/>
    <w:rsid w:val="00014CF8"/>
    <w:rsid w:val="00014ED4"/>
    <w:rsid w:val="000153A1"/>
    <w:rsid w:val="00016099"/>
    <w:rsid w:val="00016A76"/>
    <w:rsid w:val="00016C0D"/>
    <w:rsid w:val="000179AE"/>
    <w:rsid w:val="000223F0"/>
    <w:rsid w:val="000237AC"/>
    <w:rsid w:val="0002593A"/>
    <w:rsid w:val="00025DEB"/>
    <w:rsid w:val="000276CD"/>
    <w:rsid w:val="00030204"/>
    <w:rsid w:val="0003040F"/>
    <w:rsid w:val="00030FBF"/>
    <w:rsid w:val="00040695"/>
    <w:rsid w:val="0004070C"/>
    <w:rsid w:val="00040B87"/>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13BD"/>
    <w:rsid w:val="00104697"/>
    <w:rsid w:val="00106B35"/>
    <w:rsid w:val="00106D6B"/>
    <w:rsid w:val="001114AF"/>
    <w:rsid w:val="00112291"/>
    <w:rsid w:val="0011329A"/>
    <w:rsid w:val="001219A1"/>
    <w:rsid w:val="001222D8"/>
    <w:rsid w:val="00122993"/>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52ED"/>
    <w:rsid w:val="00193252"/>
    <w:rsid w:val="001947BA"/>
    <w:rsid w:val="00196647"/>
    <w:rsid w:val="001971CF"/>
    <w:rsid w:val="0019737D"/>
    <w:rsid w:val="00197689"/>
    <w:rsid w:val="001A17E3"/>
    <w:rsid w:val="001A2795"/>
    <w:rsid w:val="001A3806"/>
    <w:rsid w:val="001A4E16"/>
    <w:rsid w:val="001A6632"/>
    <w:rsid w:val="001A6B58"/>
    <w:rsid w:val="001A72B1"/>
    <w:rsid w:val="001A755C"/>
    <w:rsid w:val="001B0324"/>
    <w:rsid w:val="001B0D4E"/>
    <w:rsid w:val="001B155D"/>
    <w:rsid w:val="001B3160"/>
    <w:rsid w:val="001B574A"/>
    <w:rsid w:val="001B60B8"/>
    <w:rsid w:val="001B791C"/>
    <w:rsid w:val="001C0213"/>
    <w:rsid w:val="001C2114"/>
    <w:rsid w:val="001C4BCF"/>
    <w:rsid w:val="001C6487"/>
    <w:rsid w:val="001C7E69"/>
    <w:rsid w:val="001D3407"/>
    <w:rsid w:val="001D5D7A"/>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9F2"/>
    <w:rsid w:val="002818E7"/>
    <w:rsid w:val="0028254E"/>
    <w:rsid w:val="00284D57"/>
    <w:rsid w:val="00286EE2"/>
    <w:rsid w:val="002903BC"/>
    <w:rsid w:val="00295C88"/>
    <w:rsid w:val="00297030"/>
    <w:rsid w:val="002A002D"/>
    <w:rsid w:val="002A0C63"/>
    <w:rsid w:val="002A73C6"/>
    <w:rsid w:val="002B1592"/>
    <w:rsid w:val="002B48B5"/>
    <w:rsid w:val="002B74DE"/>
    <w:rsid w:val="002B7D1C"/>
    <w:rsid w:val="002C55B4"/>
    <w:rsid w:val="002C5A68"/>
    <w:rsid w:val="002C5C2B"/>
    <w:rsid w:val="002C6909"/>
    <w:rsid w:val="002C6A8F"/>
    <w:rsid w:val="002C77D8"/>
    <w:rsid w:val="002C7D1B"/>
    <w:rsid w:val="002D07F8"/>
    <w:rsid w:val="002D4237"/>
    <w:rsid w:val="002D46DB"/>
    <w:rsid w:val="002D5D9E"/>
    <w:rsid w:val="002D654A"/>
    <w:rsid w:val="002D6747"/>
    <w:rsid w:val="002E12FC"/>
    <w:rsid w:val="002E1D34"/>
    <w:rsid w:val="002E4AB8"/>
    <w:rsid w:val="002E5B1D"/>
    <w:rsid w:val="002E685C"/>
    <w:rsid w:val="002F25A2"/>
    <w:rsid w:val="002F2F60"/>
    <w:rsid w:val="002F67BE"/>
    <w:rsid w:val="00302C74"/>
    <w:rsid w:val="00302F9D"/>
    <w:rsid w:val="00303184"/>
    <w:rsid w:val="00303784"/>
    <w:rsid w:val="00304CD3"/>
    <w:rsid w:val="003117AA"/>
    <w:rsid w:val="003156B0"/>
    <w:rsid w:val="00316014"/>
    <w:rsid w:val="00320BBA"/>
    <w:rsid w:val="00322A36"/>
    <w:rsid w:val="00324230"/>
    <w:rsid w:val="00327C89"/>
    <w:rsid w:val="00330492"/>
    <w:rsid w:val="003318C8"/>
    <w:rsid w:val="003355C1"/>
    <w:rsid w:val="0034168B"/>
    <w:rsid w:val="0034457B"/>
    <w:rsid w:val="003449E8"/>
    <w:rsid w:val="00344A4B"/>
    <w:rsid w:val="00345F38"/>
    <w:rsid w:val="00347A4D"/>
    <w:rsid w:val="00347E90"/>
    <w:rsid w:val="0035310A"/>
    <w:rsid w:val="00355D4D"/>
    <w:rsid w:val="0035624B"/>
    <w:rsid w:val="00356CDE"/>
    <w:rsid w:val="0036121B"/>
    <w:rsid w:val="00361F36"/>
    <w:rsid w:val="0036254B"/>
    <w:rsid w:val="00363A87"/>
    <w:rsid w:val="0036460E"/>
    <w:rsid w:val="00365A15"/>
    <w:rsid w:val="00365D94"/>
    <w:rsid w:val="00376E84"/>
    <w:rsid w:val="003832FC"/>
    <w:rsid w:val="00383FF2"/>
    <w:rsid w:val="00384B74"/>
    <w:rsid w:val="00385609"/>
    <w:rsid w:val="00387815"/>
    <w:rsid w:val="00387F81"/>
    <w:rsid w:val="00390F5D"/>
    <w:rsid w:val="00393BEC"/>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4F01"/>
    <w:rsid w:val="00405249"/>
    <w:rsid w:val="00405DA4"/>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5A6A"/>
    <w:rsid w:val="004663C8"/>
    <w:rsid w:val="004721E5"/>
    <w:rsid w:val="004747E8"/>
    <w:rsid w:val="00476DAE"/>
    <w:rsid w:val="0048332B"/>
    <w:rsid w:val="00483478"/>
    <w:rsid w:val="004834A5"/>
    <w:rsid w:val="00486C51"/>
    <w:rsid w:val="00486FD8"/>
    <w:rsid w:val="00493BA0"/>
    <w:rsid w:val="00495582"/>
    <w:rsid w:val="00495B83"/>
    <w:rsid w:val="004960FC"/>
    <w:rsid w:val="004A0237"/>
    <w:rsid w:val="004A0FC9"/>
    <w:rsid w:val="004A60F3"/>
    <w:rsid w:val="004B08D5"/>
    <w:rsid w:val="004B3346"/>
    <w:rsid w:val="004B35D3"/>
    <w:rsid w:val="004B44D6"/>
    <w:rsid w:val="004B6F2D"/>
    <w:rsid w:val="004C1BE8"/>
    <w:rsid w:val="004C2945"/>
    <w:rsid w:val="004C36CB"/>
    <w:rsid w:val="004C3FDB"/>
    <w:rsid w:val="004C4E90"/>
    <w:rsid w:val="004C7755"/>
    <w:rsid w:val="004D0D8A"/>
    <w:rsid w:val="004D1456"/>
    <w:rsid w:val="004D3722"/>
    <w:rsid w:val="004D43C7"/>
    <w:rsid w:val="004E1142"/>
    <w:rsid w:val="004E1446"/>
    <w:rsid w:val="004E521D"/>
    <w:rsid w:val="004F4B2E"/>
    <w:rsid w:val="004F5321"/>
    <w:rsid w:val="004F5C3D"/>
    <w:rsid w:val="004F6C7E"/>
    <w:rsid w:val="00502CBA"/>
    <w:rsid w:val="0051004E"/>
    <w:rsid w:val="00512C8A"/>
    <w:rsid w:val="005144D8"/>
    <w:rsid w:val="005147CC"/>
    <w:rsid w:val="005150FC"/>
    <w:rsid w:val="005158E7"/>
    <w:rsid w:val="005173DA"/>
    <w:rsid w:val="00521F9F"/>
    <w:rsid w:val="00523911"/>
    <w:rsid w:val="00524ADD"/>
    <w:rsid w:val="00532906"/>
    <w:rsid w:val="0053595A"/>
    <w:rsid w:val="005416E0"/>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04AF"/>
    <w:rsid w:val="00571E01"/>
    <w:rsid w:val="0057265D"/>
    <w:rsid w:val="00574609"/>
    <w:rsid w:val="00574A3C"/>
    <w:rsid w:val="00574A92"/>
    <w:rsid w:val="00576CD3"/>
    <w:rsid w:val="0057719F"/>
    <w:rsid w:val="005773F1"/>
    <w:rsid w:val="00584CF1"/>
    <w:rsid w:val="0058617E"/>
    <w:rsid w:val="005943B5"/>
    <w:rsid w:val="005945C6"/>
    <w:rsid w:val="0059783A"/>
    <w:rsid w:val="005A0882"/>
    <w:rsid w:val="005A1E16"/>
    <w:rsid w:val="005A2388"/>
    <w:rsid w:val="005A2CB5"/>
    <w:rsid w:val="005A3018"/>
    <w:rsid w:val="005A55B3"/>
    <w:rsid w:val="005A5ACB"/>
    <w:rsid w:val="005A67EE"/>
    <w:rsid w:val="005B400C"/>
    <w:rsid w:val="005B41AE"/>
    <w:rsid w:val="005B49D6"/>
    <w:rsid w:val="005B5673"/>
    <w:rsid w:val="005B72E6"/>
    <w:rsid w:val="005C019A"/>
    <w:rsid w:val="005C2944"/>
    <w:rsid w:val="005C2E06"/>
    <w:rsid w:val="005C7C2B"/>
    <w:rsid w:val="005D4768"/>
    <w:rsid w:val="005D4854"/>
    <w:rsid w:val="005D680D"/>
    <w:rsid w:val="005D6F34"/>
    <w:rsid w:val="005E0DA2"/>
    <w:rsid w:val="005E1D1D"/>
    <w:rsid w:val="005E1FB6"/>
    <w:rsid w:val="005E44AC"/>
    <w:rsid w:val="005E6D0C"/>
    <w:rsid w:val="005E76B6"/>
    <w:rsid w:val="005F1BDD"/>
    <w:rsid w:val="005F1BF6"/>
    <w:rsid w:val="005F1EA7"/>
    <w:rsid w:val="005F1EFF"/>
    <w:rsid w:val="005F2B27"/>
    <w:rsid w:val="005F30FA"/>
    <w:rsid w:val="005F5050"/>
    <w:rsid w:val="005F76BE"/>
    <w:rsid w:val="005F7ECF"/>
    <w:rsid w:val="00600391"/>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7AE7"/>
    <w:rsid w:val="00663615"/>
    <w:rsid w:val="00664D3C"/>
    <w:rsid w:val="00667E01"/>
    <w:rsid w:val="0067164D"/>
    <w:rsid w:val="0067287F"/>
    <w:rsid w:val="00676F1D"/>
    <w:rsid w:val="00677696"/>
    <w:rsid w:val="00681202"/>
    <w:rsid w:val="00682BA6"/>
    <w:rsid w:val="0068425E"/>
    <w:rsid w:val="00685646"/>
    <w:rsid w:val="00686226"/>
    <w:rsid w:val="00687357"/>
    <w:rsid w:val="0069290E"/>
    <w:rsid w:val="00693E7A"/>
    <w:rsid w:val="00694B4B"/>
    <w:rsid w:val="00696681"/>
    <w:rsid w:val="006A1735"/>
    <w:rsid w:val="006A3A7C"/>
    <w:rsid w:val="006A66D7"/>
    <w:rsid w:val="006B16DE"/>
    <w:rsid w:val="006B29B1"/>
    <w:rsid w:val="006B5FE8"/>
    <w:rsid w:val="006B6383"/>
    <w:rsid w:val="006C187C"/>
    <w:rsid w:val="006C4CC5"/>
    <w:rsid w:val="006C5708"/>
    <w:rsid w:val="006C6689"/>
    <w:rsid w:val="006C7E37"/>
    <w:rsid w:val="006C7F74"/>
    <w:rsid w:val="006D2FE2"/>
    <w:rsid w:val="006D386B"/>
    <w:rsid w:val="006D5EB9"/>
    <w:rsid w:val="006D6DD7"/>
    <w:rsid w:val="006E1171"/>
    <w:rsid w:val="006F12E6"/>
    <w:rsid w:val="006F1ADA"/>
    <w:rsid w:val="006F2EA5"/>
    <w:rsid w:val="006F375C"/>
    <w:rsid w:val="006F419B"/>
    <w:rsid w:val="006F429C"/>
    <w:rsid w:val="006F563A"/>
    <w:rsid w:val="006F5D74"/>
    <w:rsid w:val="006F6468"/>
    <w:rsid w:val="00700DED"/>
    <w:rsid w:val="00700ED9"/>
    <w:rsid w:val="00703277"/>
    <w:rsid w:val="00705764"/>
    <w:rsid w:val="00706E47"/>
    <w:rsid w:val="00711250"/>
    <w:rsid w:val="00713436"/>
    <w:rsid w:val="00722B1E"/>
    <w:rsid w:val="0072572F"/>
    <w:rsid w:val="00731779"/>
    <w:rsid w:val="007323D2"/>
    <w:rsid w:val="007327DA"/>
    <w:rsid w:val="00733BDB"/>
    <w:rsid w:val="0073422D"/>
    <w:rsid w:val="00735209"/>
    <w:rsid w:val="007359C7"/>
    <w:rsid w:val="007367F9"/>
    <w:rsid w:val="00737F29"/>
    <w:rsid w:val="00741A51"/>
    <w:rsid w:val="0074347E"/>
    <w:rsid w:val="00744302"/>
    <w:rsid w:val="00746716"/>
    <w:rsid w:val="00746F8F"/>
    <w:rsid w:val="00747F28"/>
    <w:rsid w:val="0075145D"/>
    <w:rsid w:val="007525E6"/>
    <w:rsid w:val="0075390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209F"/>
    <w:rsid w:val="007A3CAE"/>
    <w:rsid w:val="007A7F20"/>
    <w:rsid w:val="007B1677"/>
    <w:rsid w:val="007B3338"/>
    <w:rsid w:val="007B6107"/>
    <w:rsid w:val="007B626D"/>
    <w:rsid w:val="007B68ED"/>
    <w:rsid w:val="007B6AF5"/>
    <w:rsid w:val="007C3758"/>
    <w:rsid w:val="007C3F4F"/>
    <w:rsid w:val="007D09A1"/>
    <w:rsid w:val="007D0B50"/>
    <w:rsid w:val="007D120A"/>
    <w:rsid w:val="007D1C6D"/>
    <w:rsid w:val="007D3CDE"/>
    <w:rsid w:val="007D3F24"/>
    <w:rsid w:val="007D45A4"/>
    <w:rsid w:val="007D6C90"/>
    <w:rsid w:val="007D74FE"/>
    <w:rsid w:val="007E037B"/>
    <w:rsid w:val="007E411E"/>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74D"/>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68FF"/>
    <w:rsid w:val="00876EC5"/>
    <w:rsid w:val="00880A4A"/>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3394"/>
    <w:rsid w:val="008A5ADB"/>
    <w:rsid w:val="008B1A52"/>
    <w:rsid w:val="008B296A"/>
    <w:rsid w:val="008B332E"/>
    <w:rsid w:val="008C2124"/>
    <w:rsid w:val="008C5A2E"/>
    <w:rsid w:val="008C75FF"/>
    <w:rsid w:val="008D05D1"/>
    <w:rsid w:val="008D0F30"/>
    <w:rsid w:val="008D1B83"/>
    <w:rsid w:val="008D550B"/>
    <w:rsid w:val="008E00C6"/>
    <w:rsid w:val="008E0926"/>
    <w:rsid w:val="008E1D18"/>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5939"/>
    <w:rsid w:val="009263A1"/>
    <w:rsid w:val="00930801"/>
    <w:rsid w:val="00930E76"/>
    <w:rsid w:val="0093324A"/>
    <w:rsid w:val="00933FC9"/>
    <w:rsid w:val="00935B20"/>
    <w:rsid w:val="00935B95"/>
    <w:rsid w:val="00936D88"/>
    <w:rsid w:val="00937C20"/>
    <w:rsid w:val="0094189A"/>
    <w:rsid w:val="00942762"/>
    <w:rsid w:val="00943F32"/>
    <w:rsid w:val="00944311"/>
    <w:rsid w:val="0095457B"/>
    <w:rsid w:val="00955611"/>
    <w:rsid w:val="0095637E"/>
    <w:rsid w:val="00957703"/>
    <w:rsid w:val="00957FEE"/>
    <w:rsid w:val="00963329"/>
    <w:rsid w:val="00963DEC"/>
    <w:rsid w:val="009645C6"/>
    <w:rsid w:val="0096471A"/>
    <w:rsid w:val="0096526E"/>
    <w:rsid w:val="00970CE7"/>
    <w:rsid w:val="009714FF"/>
    <w:rsid w:val="00971871"/>
    <w:rsid w:val="0097300A"/>
    <w:rsid w:val="00973664"/>
    <w:rsid w:val="00974F87"/>
    <w:rsid w:val="00977E00"/>
    <w:rsid w:val="00983D95"/>
    <w:rsid w:val="009857BB"/>
    <w:rsid w:val="00991E09"/>
    <w:rsid w:val="00992FA5"/>
    <w:rsid w:val="00994F9F"/>
    <w:rsid w:val="00995B1D"/>
    <w:rsid w:val="00996085"/>
    <w:rsid w:val="009A01A1"/>
    <w:rsid w:val="009A0657"/>
    <w:rsid w:val="009A3FC5"/>
    <w:rsid w:val="009A4E83"/>
    <w:rsid w:val="009A7CB0"/>
    <w:rsid w:val="009B0D36"/>
    <w:rsid w:val="009B0DC7"/>
    <w:rsid w:val="009B21D9"/>
    <w:rsid w:val="009B36C4"/>
    <w:rsid w:val="009B47B8"/>
    <w:rsid w:val="009B4FF4"/>
    <w:rsid w:val="009B50E6"/>
    <w:rsid w:val="009C086C"/>
    <w:rsid w:val="009C1C55"/>
    <w:rsid w:val="009C6195"/>
    <w:rsid w:val="009C7745"/>
    <w:rsid w:val="009C77B8"/>
    <w:rsid w:val="009C7C46"/>
    <w:rsid w:val="009D2114"/>
    <w:rsid w:val="009D4940"/>
    <w:rsid w:val="009D5E73"/>
    <w:rsid w:val="009D684D"/>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44BE"/>
    <w:rsid w:val="00A15646"/>
    <w:rsid w:val="00A15682"/>
    <w:rsid w:val="00A16B68"/>
    <w:rsid w:val="00A213C4"/>
    <w:rsid w:val="00A22081"/>
    <w:rsid w:val="00A2346A"/>
    <w:rsid w:val="00A249C2"/>
    <w:rsid w:val="00A30455"/>
    <w:rsid w:val="00A33629"/>
    <w:rsid w:val="00A37AFA"/>
    <w:rsid w:val="00A40156"/>
    <w:rsid w:val="00A445F3"/>
    <w:rsid w:val="00A45055"/>
    <w:rsid w:val="00A45C6F"/>
    <w:rsid w:val="00A4645A"/>
    <w:rsid w:val="00A46EDC"/>
    <w:rsid w:val="00A478B7"/>
    <w:rsid w:val="00A50107"/>
    <w:rsid w:val="00A50D64"/>
    <w:rsid w:val="00A52177"/>
    <w:rsid w:val="00A550E7"/>
    <w:rsid w:val="00A56271"/>
    <w:rsid w:val="00A57B5B"/>
    <w:rsid w:val="00A57DB0"/>
    <w:rsid w:val="00A600D9"/>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5F1"/>
    <w:rsid w:val="00A91C9E"/>
    <w:rsid w:val="00A940D2"/>
    <w:rsid w:val="00A941B1"/>
    <w:rsid w:val="00A961FB"/>
    <w:rsid w:val="00A978D6"/>
    <w:rsid w:val="00A979F6"/>
    <w:rsid w:val="00AA03E5"/>
    <w:rsid w:val="00AA3E6D"/>
    <w:rsid w:val="00AA50F5"/>
    <w:rsid w:val="00AB3051"/>
    <w:rsid w:val="00AB3FF2"/>
    <w:rsid w:val="00AC02A7"/>
    <w:rsid w:val="00AC0365"/>
    <w:rsid w:val="00AC0374"/>
    <w:rsid w:val="00AC09C4"/>
    <w:rsid w:val="00AC304C"/>
    <w:rsid w:val="00AC4DB0"/>
    <w:rsid w:val="00AC5D36"/>
    <w:rsid w:val="00AC68C5"/>
    <w:rsid w:val="00AC7171"/>
    <w:rsid w:val="00AC7444"/>
    <w:rsid w:val="00AD016C"/>
    <w:rsid w:val="00AD347E"/>
    <w:rsid w:val="00AD39C3"/>
    <w:rsid w:val="00AD5154"/>
    <w:rsid w:val="00AD7AF8"/>
    <w:rsid w:val="00AE1614"/>
    <w:rsid w:val="00AE2E0D"/>
    <w:rsid w:val="00AE41C6"/>
    <w:rsid w:val="00AE5831"/>
    <w:rsid w:val="00AE5966"/>
    <w:rsid w:val="00AE6849"/>
    <w:rsid w:val="00AE7016"/>
    <w:rsid w:val="00AF0F40"/>
    <w:rsid w:val="00AF0F82"/>
    <w:rsid w:val="00AF1CBA"/>
    <w:rsid w:val="00AF1F38"/>
    <w:rsid w:val="00AF5DE6"/>
    <w:rsid w:val="00AF7359"/>
    <w:rsid w:val="00B02BE5"/>
    <w:rsid w:val="00B02FC2"/>
    <w:rsid w:val="00B0461C"/>
    <w:rsid w:val="00B067A5"/>
    <w:rsid w:val="00B0693A"/>
    <w:rsid w:val="00B07F10"/>
    <w:rsid w:val="00B1140D"/>
    <w:rsid w:val="00B1207E"/>
    <w:rsid w:val="00B150D3"/>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4EED"/>
    <w:rsid w:val="00B75803"/>
    <w:rsid w:val="00B75BAC"/>
    <w:rsid w:val="00B76602"/>
    <w:rsid w:val="00B767D1"/>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6C96"/>
    <w:rsid w:val="00BD208D"/>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43E2"/>
    <w:rsid w:val="00C15168"/>
    <w:rsid w:val="00C17BE5"/>
    <w:rsid w:val="00C22929"/>
    <w:rsid w:val="00C22F1C"/>
    <w:rsid w:val="00C24319"/>
    <w:rsid w:val="00C245F4"/>
    <w:rsid w:val="00C25CE1"/>
    <w:rsid w:val="00C33144"/>
    <w:rsid w:val="00C345A5"/>
    <w:rsid w:val="00C35113"/>
    <w:rsid w:val="00C365C1"/>
    <w:rsid w:val="00C375C0"/>
    <w:rsid w:val="00C40263"/>
    <w:rsid w:val="00C41F29"/>
    <w:rsid w:val="00C4395C"/>
    <w:rsid w:val="00C43BF0"/>
    <w:rsid w:val="00C44385"/>
    <w:rsid w:val="00C4537B"/>
    <w:rsid w:val="00C47B86"/>
    <w:rsid w:val="00C47EA9"/>
    <w:rsid w:val="00C50871"/>
    <w:rsid w:val="00C51414"/>
    <w:rsid w:val="00C558E8"/>
    <w:rsid w:val="00C564E5"/>
    <w:rsid w:val="00C57055"/>
    <w:rsid w:val="00C57D9E"/>
    <w:rsid w:val="00C60C1B"/>
    <w:rsid w:val="00C61E6C"/>
    <w:rsid w:val="00C64112"/>
    <w:rsid w:val="00C64999"/>
    <w:rsid w:val="00C66752"/>
    <w:rsid w:val="00C7081C"/>
    <w:rsid w:val="00C71FC5"/>
    <w:rsid w:val="00C72443"/>
    <w:rsid w:val="00C7579D"/>
    <w:rsid w:val="00C76761"/>
    <w:rsid w:val="00C76D90"/>
    <w:rsid w:val="00C817C7"/>
    <w:rsid w:val="00C83327"/>
    <w:rsid w:val="00C83B23"/>
    <w:rsid w:val="00C84DF8"/>
    <w:rsid w:val="00C8551A"/>
    <w:rsid w:val="00C87548"/>
    <w:rsid w:val="00C878B0"/>
    <w:rsid w:val="00C879DA"/>
    <w:rsid w:val="00C90905"/>
    <w:rsid w:val="00C90C9B"/>
    <w:rsid w:val="00C96BC3"/>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6196"/>
    <w:rsid w:val="00CD785B"/>
    <w:rsid w:val="00CE09AA"/>
    <w:rsid w:val="00CE3649"/>
    <w:rsid w:val="00CE4735"/>
    <w:rsid w:val="00CF0784"/>
    <w:rsid w:val="00CF1546"/>
    <w:rsid w:val="00CF174A"/>
    <w:rsid w:val="00CF2E41"/>
    <w:rsid w:val="00CF366D"/>
    <w:rsid w:val="00CF3E9B"/>
    <w:rsid w:val="00CF40B7"/>
    <w:rsid w:val="00CF4C78"/>
    <w:rsid w:val="00CF5944"/>
    <w:rsid w:val="00D00701"/>
    <w:rsid w:val="00D07B9F"/>
    <w:rsid w:val="00D11702"/>
    <w:rsid w:val="00D1202E"/>
    <w:rsid w:val="00D13AD4"/>
    <w:rsid w:val="00D15828"/>
    <w:rsid w:val="00D16D00"/>
    <w:rsid w:val="00D24444"/>
    <w:rsid w:val="00D24550"/>
    <w:rsid w:val="00D26C36"/>
    <w:rsid w:val="00D2765B"/>
    <w:rsid w:val="00D27C83"/>
    <w:rsid w:val="00D3114B"/>
    <w:rsid w:val="00D32437"/>
    <w:rsid w:val="00D33B9D"/>
    <w:rsid w:val="00D4287A"/>
    <w:rsid w:val="00D512A8"/>
    <w:rsid w:val="00D5233D"/>
    <w:rsid w:val="00D52787"/>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3DB"/>
    <w:rsid w:val="00DC1A5D"/>
    <w:rsid w:val="00DC47BA"/>
    <w:rsid w:val="00DC651D"/>
    <w:rsid w:val="00DD06EB"/>
    <w:rsid w:val="00DD17D8"/>
    <w:rsid w:val="00DD1DCB"/>
    <w:rsid w:val="00DD3156"/>
    <w:rsid w:val="00DD5F99"/>
    <w:rsid w:val="00DD6EAE"/>
    <w:rsid w:val="00DE1FEE"/>
    <w:rsid w:val="00DF2876"/>
    <w:rsid w:val="00DF30D2"/>
    <w:rsid w:val="00DF3F07"/>
    <w:rsid w:val="00DF3F4E"/>
    <w:rsid w:val="00DF4896"/>
    <w:rsid w:val="00E01890"/>
    <w:rsid w:val="00E01A91"/>
    <w:rsid w:val="00E02E9F"/>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2160"/>
    <w:rsid w:val="00E326FB"/>
    <w:rsid w:val="00E33938"/>
    <w:rsid w:val="00E35A50"/>
    <w:rsid w:val="00E35B7E"/>
    <w:rsid w:val="00E35EDA"/>
    <w:rsid w:val="00E35EEF"/>
    <w:rsid w:val="00E36425"/>
    <w:rsid w:val="00E3647D"/>
    <w:rsid w:val="00E3705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C6F"/>
    <w:rsid w:val="00EA5D9D"/>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18A"/>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3AA1"/>
    <w:rsid w:val="00FC40C8"/>
    <w:rsid w:val="00FD0345"/>
    <w:rsid w:val="00FD1455"/>
    <w:rsid w:val="00FD45F5"/>
    <w:rsid w:val="00FD5A1C"/>
    <w:rsid w:val="00FD5A59"/>
    <w:rsid w:val="00FD6408"/>
    <w:rsid w:val="00FD6814"/>
    <w:rsid w:val="00FD72DC"/>
    <w:rsid w:val="00FE26C6"/>
    <w:rsid w:val="00FE354E"/>
    <w:rsid w:val="00FE374F"/>
    <w:rsid w:val="00FE63DC"/>
    <w:rsid w:val="00FE7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rsid w:val="00B32BB6"/>
    <w:rPr>
      <w:rFonts w:ascii="Times New Roman" w:hAnsi="Times New Roman"/>
      <w:sz w:val="24"/>
    </w:rPr>
  </w:style>
  <w:style w:type="paragraph" w:styleId="Footer">
    <w:name w:val="footer"/>
    <w:basedOn w:val="Normal"/>
    <w:link w:val="FooterChar"/>
    <w:uiPriority w:val="99"/>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paragraph" w:styleId="ListParagraph">
    <w:name w:val="List Paragraph"/>
    <w:basedOn w:val="Normal"/>
    <w:uiPriority w:val="34"/>
    <w:qFormat/>
    <w:rsid w:val="00AF1F38"/>
    <w:pPr>
      <w:spacing w:after="200" w:line="276" w:lineRule="auto"/>
      <w:ind w:left="720"/>
    </w:pPr>
    <w:rPr>
      <w:rFonts w:eastAsia="Calibri" w:cs="Times New Roman"/>
    </w:rPr>
  </w:style>
  <w:style w:type="character" w:styleId="CommentReference">
    <w:name w:val="annotation reference"/>
    <w:basedOn w:val="DefaultParagraphFont"/>
    <w:uiPriority w:val="99"/>
    <w:semiHidden/>
    <w:unhideWhenUsed/>
    <w:rsid w:val="00C558E8"/>
    <w:rPr>
      <w:sz w:val="16"/>
      <w:szCs w:val="16"/>
    </w:rPr>
  </w:style>
  <w:style w:type="paragraph" w:styleId="CommentText">
    <w:name w:val="annotation text"/>
    <w:basedOn w:val="Normal"/>
    <w:link w:val="CommentTextChar"/>
    <w:uiPriority w:val="99"/>
    <w:semiHidden/>
    <w:unhideWhenUsed/>
    <w:rsid w:val="00C558E8"/>
    <w:pPr>
      <w:spacing w:line="240" w:lineRule="auto"/>
    </w:pPr>
    <w:rPr>
      <w:sz w:val="20"/>
      <w:szCs w:val="20"/>
    </w:rPr>
  </w:style>
  <w:style w:type="character" w:customStyle="1" w:styleId="CommentTextChar">
    <w:name w:val="Comment Text Char"/>
    <w:basedOn w:val="DefaultParagraphFont"/>
    <w:link w:val="CommentText"/>
    <w:uiPriority w:val="99"/>
    <w:semiHidden/>
    <w:rsid w:val="00C558E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558E8"/>
    <w:rPr>
      <w:b/>
      <w:bCs/>
    </w:rPr>
  </w:style>
  <w:style w:type="character" w:customStyle="1" w:styleId="CommentSubjectChar">
    <w:name w:val="Comment Subject Char"/>
    <w:basedOn w:val="CommentTextChar"/>
    <w:link w:val="CommentSubject"/>
    <w:uiPriority w:val="99"/>
    <w:semiHidden/>
    <w:rsid w:val="00C558E8"/>
    <w:rPr>
      <w:rFonts w:ascii="Times New Roman" w:hAnsi="Times New Roman"/>
      <w:b/>
      <w:bCs/>
      <w:sz w:val="20"/>
      <w:szCs w:val="20"/>
    </w:rPr>
  </w:style>
  <w:style w:type="paragraph" w:styleId="BalloonText">
    <w:name w:val="Balloon Text"/>
    <w:basedOn w:val="Normal"/>
    <w:link w:val="BalloonTextChar"/>
    <w:uiPriority w:val="99"/>
    <w:semiHidden/>
    <w:unhideWhenUsed/>
    <w:rsid w:val="00C558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8E8"/>
    <w:rPr>
      <w:rFonts w:ascii="Tahoma" w:hAnsi="Tahoma" w:cs="Tahoma"/>
      <w:sz w:val="16"/>
      <w:szCs w:val="16"/>
    </w:rPr>
  </w:style>
  <w:style w:type="character" w:styleId="Hyperlink">
    <w:name w:val="Hyperlink"/>
    <w:basedOn w:val="DefaultParagraphFont"/>
    <w:uiPriority w:val="99"/>
    <w:unhideWhenUsed/>
    <w:rsid w:val="00970C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03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ictionary.webmd.com/terms/cardiopulmonary-resuscitation(cpr)"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nah%20Elizabeth.HARLEYTAIL02.001\Application%20Data\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C9A9A-F49E-41CF-BDD4-E8F44D6F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Apa6thEd.wiz</Template>
  <TotalTime>0</TotalTime>
  <Pages>9</Pages>
  <Words>2022</Words>
  <Characters>11666</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carle</cp:lastModifiedBy>
  <cp:revision>2</cp:revision>
  <dcterms:created xsi:type="dcterms:W3CDTF">2011-11-17T22:51:00Z</dcterms:created>
  <dcterms:modified xsi:type="dcterms:W3CDTF">2011-11-17T22:51:00Z</dcterms:modified>
</cp:coreProperties>
</file>