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6C" w:rsidRDefault="001D186C" w:rsidP="001D186C">
      <w:pPr>
        <w:jc w:val="center"/>
      </w:pPr>
    </w:p>
    <w:p w:rsidR="001D186C" w:rsidRDefault="001D186C" w:rsidP="001D186C">
      <w:pPr>
        <w:jc w:val="center"/>
      </w:pPr>
    </w:p>
    <w:p w:rsidR="001D186C" w:rsidRPr="002A688B" w:rsidRDefault="002A688B" w:rsidP="001D186C">
      <w:pPr>
        <w:jc w:val="center"/>
        <w:rPr>
          <w:color w:val="FF0000"/>
        </w:rPr>
      </w:pPr>
      <w:r w:rsidRPr="002A688B">
        <w:rPr>
          <w:color w:val="FF0000"/>
        </w:rPr>
        <w:t>14/15</w:t>
      </w: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BE7DB3"/>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r>
        <w:t>Case Study 5.2</w:t>
      </w:r>
    </w:p>
    <w:p w:rsidR="001D186C" w:rsidRDefault="001D186C" w:rsidP="001D186C">
      <w:pPr>
        <w:jc w:val="center"/>
      </w:pPr>
      <w:r>
        <w:t xml:space="preserve">Emma </w:t>
      </w:r>
      <w:proofErr w:type="spellStart"/>
      <w:r>
        <w:t>Ciosek</w:t>
      </w:r>
      <w:proofErr w:type="spellEnd"/>
    </w:p>
    <w:p w:rsidR="001D186C" w:rsidRDefault="001D186C" w:rsidP="001D186C">
      <w:pPr>
        <w:jc w:val="center"/>
      </w:pPr>
      <w:r>
        <w:t>Lakeview College of Nursing</w:t>
      </w:r>
    </w:p>
    <w:p w:rsidR="001D186C" w:rsidRDefault="001D186C" w:rsidP="001D186C">
      <w:pPr>
        <w:jc w:val="center"/>
      </w:pPr>
      <w:r>
        <w:t>Nursing of the Gerontological Client N309</w:t>
      </w: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1D186C" w:rsidRDefault="001D186C" w:rsidP="001D186C">
      <w:pPr>
        <w:jc w:val="center"/>
      </w:pPr>
    </w:p>
    <w:p w:rsidR="00AB1729" w:rsidRPr="00FA5DEF" w:rsidRDefault="00BE7DB3" w:rsidP="003E2258">
      <w:pPr>
        <w:spacing w:line="480" w:lineRule="auto"/>
      </w:pPr>
      <w:r>
        <w:lastRenderedPageBreak/>
        <w:tab/>
        <w:t>1.</w:t>
      </w:r>
      <w:r w:rsidR="00516D78">
        <w:t xml:space="preserve"> </w:t>
      </w:r>
      <w:r>
        <w:t xml:space="preserve"> </w:t>
      </w:r>
      <w:r w:rsidR="007963A6" w:rsidRPr="00AB1729">
        <w:t>Frailty</w:t>
      </w:r>
      <w:r w:rsidRPr="00AB1729">
        <w:t xml:space="preserve"> </w:t>
      </w:r>
      <w:r w:rsidR="007963A6" w:rsidRPr="00AB1729">
        <w:t xml:space="preserve">is </w:t>
      </w:r>
      <w:r w:rsidR="00516D78" w:rsidRPr="00AB1729">
        <w:t xml:space="preserve">“perceived as the general decline in the physical function of older adults that can increase vulnerability to illness and decline” (Mauk, 2010, pg. 304).  </w:t>
      </w:r>
      <w:r w:rsidR="00AB1729">
        <w:t>“</w:t>
      </w:r>
      <w:r w:rsidR="00AB1729" w:rsidRPr="00AB1729">
        <w:t xml:space="preserve">Disability can arise from dysfunction of a single system or from many systems, but frailty always implies multisystem dysfunction. Disability need not be associated with instability, </w:t>
      </w:r>
      <w:r w:rsidR="00AB1729">
        <w:t xml:space="preserve">whereas frailty necessarily is </w:t>
      </w:r>
      <w:r w:rsidR="00AB1729" w:rsidRPr="00AB1729">
        <w:t xml:space="preserve">(Rockwood, Hogan, &amp; </w:t>
      </w:r>
      <w:proofErr w:type="spellStart"/>
      <w:r w:rsidR="00AB1729" w:rsidRPr="00AB1729">
        <w:t>MacKnight</w:t>
      </w:r>
      <w:proofErr w:type="spellEnd"/>
      <w:r w:rsidR="00AB1729" w:rsidRPr="00AB1729">
        <w:t>, 2000)</w:t>
      </w:r>
      <w:r w:rsidR="00AB1729">
        <w:t>.</w:t>
      </w:r>
      <w:r w:rsidR="00AB1729" w:rsidRPr="00AB1729">
        <w:t xml:space="preserve"> </w:t>
      </w:r>
      <w:r w:rsidR="00AB1729">
        <w:t xml:space="preserve"> </w:t>
      </w:r>
      <w:r w:rsidR="00516D78" w:rsidRPr="00AB1729">
        <w:t>C</w:t>
      </w:r>
      <w:r w:rsidRPr="00AB1729">
        <w:t>omorbidity</w:t>
      </w:r>
      <w:r w:rsidR="0079605F" w:rsidRPr="00AB1729">
        <w:t xml:space="preserve"> </w:t>
      </w:r>
      <w:r w:rsidR="00516D78" w:rsidRPr="00AB1729">
        <w:t xml:space="preserve">refers to </w:t>
      </w:r>
      <w:r w:rsidR="001A260F" w:rsidRPr="00AB1729">
        <w:t>“</w:t>
      </w:r>
      <w:r w:rsidR="00516D78" w:rsidRPr="00AB1729">
        <w:t>the occurrence of two or more distinguishably different disease processes in a person</w:t>
      </w:r>
      <w:r w:rsidRPr="00AB1729">
        <w:t>, and disability</w:t>
      </w:r>
      <w:r w:rsidR="001A260F" w:rsidRPr="00AB1729">
        <w:t xml:space="preserve">” (Anderson, Darer, Fried, </w:t>
      </w:r>
      <w:proofErr w:type="spellStart"/>
      <w:r w:rsidR="001A260F" w:rsidRPr="00AB1729">
        <w:t>Ferrucci</w:t>
      </w:r>
      <w:proofErr w:type="spellEnd"/>
      <w:r w:rsidR="001A260F" w:rsidRPr="00AB1729">
        <w:t xml:space="preserve">, &amp; Williamson, </w:t>
      </w:r>
      <w:commentRangeStart w:id="0"/>
      <w:r w:rsidR="001A260F" w:rsidRPr="00AB1729">
        <w:t>2004</w:t>
      </w:r>
      <w:commentRangeEnd w:id="0"/>
      <w:r w:rsidR="002A688B">
        <w:rPr>
          <w:rStyle w:val="CommentReference"/>
        </w:rPr>
        <w:commentReference w:id="0"/>
      </w:r>
      <w:r w:rsidR="001A260F" w:rsidRPr="00AB1729">
        <w:t xml:space="preserve">).  </w:t>
      </w:r>
      <w:r w:rsidR="00AB1729" w:rsidRPr="00AB1729">
        <w:t>Frailty,</w:t>
      </w:r>
      <w:r w:rsidR="00AB1729">
        <w:rPr>
          <w:rFonts w:cs="Verdana"/>
          <w:szCs w:val="22"/>
        </w:rPr>
        <w:t xml:space="preserve"> disability, and comorbidity can and are often used conversely when being discussed.  Even though they are used conversely, they each still have their own </w:t>
      </w:r>
      <w:r w:rsidR="00AB1729" w:rsidRPr="00FA5DEF">
        <w:t>specific definition as explained above.</w:t>
      </w:r>
    </w:p>
    <w:p w:rsidR="001D186C" w:rsidRDefault="00FA5DEF" w:rsidP="003E2258">
      <w:pPr>
        <w:autoSpaceDE w:val="0"/>
        <w:autoSpaceDN w:val="0"/>
        <w:adjustRightInd w:val="0"/>
        <w:spacing w:after="0" w:line="480" w:lineRule="auto"/>
      </w:pPr>
      <w:r w:rsidRPr="00FA5DEF">
        <w:t xml:space="preserve">2.  </w:t>
      </w:r>
      <w:r>
        <w:t>“</w:t>
      </w:r>
      <w:r w:rsidRPr="00FA5DEF">
        <w:t>Frailty is a syndrome associated with reduced functional reserve, impairment in multiple physiological systems, and reduced ability to regain physiological home</w:t>
      </w:r>
      <w:r>
        <w:t>ostasis” (</w:t>
      </w:r>
      <w:proofErr w:type="spellStart"/>
      <w:r>
        <w:t>Bartali</w:t>
      </w:r>
      <w:proofErr w:type="spellEnd"/>
      <w:r>
        <w:t xml:space="preserve"> et al., </w:t>
      </w:r>
      <w:commentRangeStart w:id="1"/>
      <w:r>
        <w:t>2006</w:t>
      </w:r>
      <w:commentRangeEnd w:id="1"/>
      <w:r w:rsidR="002A688B">
        <w:rPr>
          <w:rStyle w:val="CommentReference"/>
        </w:rPr>
        <w:commentReference w:id="1"/>
      </w:r>
      <w:r>
        <w:t xml:space="preserve">).  </w:t>
      </w:r>
      <w:r w:rsidR="000F453E">
        <w:t xml:space="preserve">A syndrome is a group of symptoms that make up a specific disease or disorder.  So in order for frailty to be considered a syndrome, there must be a group of symptoms present with it.  </w:t>
      </w:r>
      <w:r w:rsidR="000F453E" w:rsidRPr="000F453E">
        <w:t xml:space="preserve">These symptoms </w:t>
      </w:r>
      <w:r w:rsidR="000F453E">
        <w:t xml:space="preserve">must </w:t>
      </w:r>
      <w:r w:rsidR="000F453E" w:rsidRPr="000F453E">
        <w:t>include the “</w:t>
      </w:r>
      <w:r w:rsidRPr="000F453E">
        <w:t>presence of three of five central components:</w:t>
      </w:r>
      <w:r w:rsidR="000F453E">
        <w:t xml:space="preserve"> unintentional, </w:t>
      </w:r>
      <w:r w:rsidRPr="000F453E">
        <w:t>weight</w:t>
      </w:r>
      <w:r w:rsidR="000F453E">
        <w:t xml:space="preserve"> </w:t>
      </w:r>
      <w:r w:rsidRPr="000F453E">
        <w:t>loss, slow walking speed,</w:t>
      </w:r>
      <w:r w:rsidR="000F453E">
        <w:t xml:space="preserve"> </w:t>
      </w:r>
      <w:r w:rsidRPr="000F453E">
        <w:t>self-reported exhaustion,</w:t>
      </w:r>
      <w:r w:rsidR="000F453E">
        <w:t xml:space="preserve"> </w:t>
      </w:r>
      <w:r w:rsidRPr="000F453E">
        <w:t>low energy expenditure,</w:t>
      </w:r>
      <w:r w:rsidR="000F453E">
        <w:t xml:space="preserve"> </w:t>
      </w:r>
      <w:r w:rsidRPr="000F453E">
        <w:t>and weakness</w:t>
      </w:r>
      <w:r w:rsidR="000F453E">
        <w:t>” (Espinoza &amp; Fried, 2007, p. 38</w:t>
      </w:r>
      <w:r w:rsidR="000F453E" w:rsidRPr="000B2B38">
        <w:t>).</w:t>
      </w:r>
      <w:r w:rsidR="000F453E">
        <w:t xml:space="preserve">  </w:t>
      </w:r>
    </w:p>
    <w:p w:rsidR="0030294A" w:rsidRPr="00190B72" w:rsidRDefault="0030294A" w:rsidP="003E2258">
      <w:pPr>
        <w:autoSpaceDE w:val="0"/>
        <w:autoSpaceDN w:val="0"/>
        <w:adjustRightInd w:val="0"/>
        <w:spacing w:after="0" w:line="480" w:lineRule="auto"/>
      </w:pPr>
      <w:r>
        <w:t>3.  For</w:t>
      </w:r>
      <w:r w:rsidRPr="000B2B38">
        <w:t xml:space="preserve"> a person </w:t>
      </w:r>
      <w:r>
        <w:t xml:space="preserve">to be considered frail, they must have at </w:t>
      </w:r>
      <w:r w:rsidRPr="000B2B38">
        <w:t xml:space="preserve">three or more of the components </w:t>
      </w:r>
      <w:r>
        <w:t xml:space="preserve">on the frailty </w:t>
      </w:r>
      <w:r w:rsidRPr="00190B72">
        <w:t>assessment tool. So according to Mrs. Gibson’s score, it is three, so she is considered frail.</w:t>
      </w:r>
    </w:p>
    <w:p w:rsidR="00190B72" w:rsidRDefault="00190B72" w:rsidP="003E2258">
      <w:pPr>
        <w:autoSpaceDE w:val="0"/>
        <w:autoSpaceDN w:val="0"/>
        <w:adjustRightInd w:val="0"/>
        <w:spacing w:after="0" w:line="480" w:lineRule="auto"/>
      </w:pPr>
      <w:r w:rsidRPr="00190B72">
        <w:t xml:space="preserve">4. </w:t>
      </w:r>
      <w:r w:rsidR="00405CE0">
        <w:t xml:space="preserve"> “</w:t>
      </w:r>
      <w:r w:rsidRPr="00190B72">
        <w:t>Primary frailty has no underlying, pathological causative factors, whereas secondary frailty originates from underlying, pathological causative factors</w:t>
      </w:r>
      <w:r w:rsidR="00405CE0">
        <w:t>”</w:t>
      </w:r>
      <w:r w:rsidRPr="00190B72">
        <w:t xml:space="preserve"> (Fried, </w:t>
      </w:r>
      <w:proofErr w:type="spellStart"/>
      <w:r w:rsidRPr="00190B72">
        <w:t>Ferrucci</w:t>
      </w:r>
      <w:proofErr w:type="spellEnd"/>
      <w:r w:rsidRPr="00190B72">
        <w:t xml:space="preserve">, Darer, Williamson, &amp; Anderson, </w:t>
      </w:r>
      <w:commentRangeStart w:id="2"/>
      <w:r w:rsidRPr="00190B72">
        <w:t>2004</w:t>
      </w:r>
      <w:commentRangeEnd w:id="2"/>
      <w:r w:rsidR="002A688B">
        <w:rPr>
          <w:rStyle w:val="CommentReference"/>
        </w:rPr>
        <w:commentReference w:id="2"/>
      </w:r>
      <w:r w:rsidRPr="00190B72">
        <w:t>)</w:t>
      </w:r>
      <w:r w:rsidR="00405CE0">
        <w:t>.</w:t>
      </w:r>
    </w:p>
    <w:p w:rsidR="00FF3815" w:rsidRDefault="00FF3815" w:rsidP="003E2258">
      <w:pPr>
        <w:spacing w:line="480" w:lineRule="auto"/>
        <w:contextualSpacing/>
      </w:pPr>
      <w:r>
        <w:lastRenderedPageBreak/>
        <w:t>5.  There are six physiological-based risk factors for frailty.  These six components are activated inflammation,</w:t>
      </w:r>
      <w:r w:rsidRPr="000B2B38">
        <w:t xml:space="preserve"> immune system dysfunction, anemia, endocrine system alteration, underweight or overweight, and age (Espinoza &amp; Fried, 2007, p. 39).</w:t>
      </w:r>
    </w:p>
    <w:p w:rsidR="006F2B3C" w:rsidRDefault="006F2B3C" w:rsidP="003E2258">
      <w:pPr>
        <w:spacing w:line="480" w:lineRule="auto"/>
        <w:contextualSpacing/>
      </w:pPr>
      <w:r>
        <w:t xml:space="preserve">6.  </w:t>
      </w:r>
      <w:r w:rsidRPr="000B2B38">
        <w:t>The</w:t>
      </w:r>
      <w:r>
        <w:t>re are many</w:t>
      </w:r>
      <w:r w:rsidRPr="000B2B38">
        <w:t xml:space="preserve"> sociodemographic and psychological risk factors that are</w:t>
      </w:r>
      <w:r>
        <w:t xml:space="preserve"> presented in this </w:t>
      </w:r>
      <w:r w:rsidRPr="000B2B38">
        <w:t>article</w:t>
      </w:r>
      <w:r>
        <w:t>.  Some of these include</w:t>
      </w:r>
      <w:r w:rsidRPr="000B2B38">
        <w:t xml:space="preserve"> female gender, low socioeconomic status, race</w:t>
      </w:r>
      <w:r>
        <w:t xml:space="preserve"> and ethnicity, and depression </w:t>
      </w:r>
      <w:r w:rsidRPr="000B2B38">
        <w:t xml:space="preserve">(Espinoza &amp; Fried, 2007, p. 42). </w:t>
      </w:r>
      <w:r>
        <w:t xml:space="preserve"> </w:t>
      </w:r>
      <w:r w:rsidRPr="000B2B38">
        <w:t>It has been shown through research that older non-white individuals are at a higher risk for frailty</w:t>
      </w:r>
      <w:r>
        <w:t>.  Women also consider themselves to be less frail than men</w:t>
      </w:r>
      <w:r w:rsidRPr="000B2B38">
        <w:t xml:space="preserve"> (Espinoza &amp; Fried, 2007, p. 43). </w:t>
      </w:r>
      <w:r>
        <w:t xml:space="preserve"> Also, p</w:t>
      </w:r>
      <w:r w:rsidRPr="000B2B38">
        <w:t>eople who are not well educated or have a low income are also more inclined to be</w:t>
      </w:r>
      <w:r>
        <w:t xml:space="preserve"> </w:t>
      </w:r>
      <w:r w:rsidRPr="000B2B38">
        <w:t>frail when compared to others who are better educated and have a higher income (Espinoza &amp; Fried, 2007, p. 42).</w:t>
      </w:r>
      <w:r>
        <w:t xml:space="preserve"> </w:t>
      </w:r>
      <w:r w:rsidRPr="000B2B38">
        <w:t xml:space="preserve"> </w:t>
      </w:r>
    </w:p>
    <w:p w:rsidR="00DA3AF8" w:rsidRDefault="006F2B3C" w:rsidP="003E2258">
      <w:pPr>
        <w:spacing w:line="480" w:lineRule="auto"/>
        <w:contextualSpacing/>
      </w:pPr>
      <w:r>
        <w:t xml:space="preserve">7.  </w:t>
      </w:r>
      <w:r w:rsidR="00AC65FF">
        <w:t>Some of these factors are not modifiable.  For</w:t>
      </w:r>
      <w:r w:rsidR="00DA3AF8">
        <w:t xml:space="preserve"> example, someone can</w:t>
      </w:r>
      <w:r w:rsidR="00AC65FF">
        <w:t>not control their</w:t>
      </w:r>
      <w:r w:rsidR="00DA3AF8">
        <w:t xml:space="preserve"> age, gender, or race.  Also, people cannot control whether or not they were educated when they were younger.  One also cannot help if they have depression, except if they are on medicine for it, but that does not always help.</w:t>
      </w:r>
    </w:p>
    <w:p w:rsidR="00A97D43" w:rsidRDefault="00DA3AF8" w:rsidP="003E2258">
      <w:pPr>
        <w:spacing w:line="480" w:lineRule="auto"/>
        <w:contextualSpacing/>
      </w:pPr>
      <w:r>
        <w:t>8.</w:t>
      </w:r>
      <w:r w:rsidR="00A97D43">
        <w:t xml:space="preserve">  </w:t>
      </w:r>
      <w:r w:rsidR="00A97D43" w:rsidRPr="000B2B38">
        <w:t xml:space="preserve">Nutritional supplements as an alternative medicine intervention for frailty include </w:t>
      </w:r>
      <w:proofErr w:type="spellStart"/>
      <w:r w:rsidR="00A97D43" w:rsidRPr="000B2B38">
        <w:t>carotenoids</w:t>
      </w:r>
      <w:proofErr w:type="spellEnd"/>
      <w:r w:rsidR="00A97D43" w:rsidRPr="000B2B38">
        <w:t xml:space="preserve">, vitamin D, </w:t>
      </w:r>
      <w:r w:rsidR="00A97D43">
        <w:t xml:space="preserve">and </w:t>
      </w:r>
      <w:proofErr w:type="spellStart"/>
      <w:r w:rsidR="00A97D43" w:rsidRPr="000B2B38">
        <w:t>dehydroepiandrosterone</w:t>
      </w:r>
      <w:proofErr w:type="spellEnd"/>
      <w:r w:rsidR="00A97D43" w:rsidRPr="000B2B38">
        <w:t xml:space="preserve"> (DHEA) (</w:t>
      </w:r>
      <w:proofErr w:type="spellStart"/>
      <w:r w:rsidR="00A97D43" w:rsidRPr="000B2B38">
        <w:t>Cherniack</w:t>
      </w:r>
      <w:proofErr w:type="spellEnd"/>
      <w:r w:rsidR="00A97D43" w:rsidRPr="000B2B38">
        <w:t xml:space="preserve">, </w:t>
      </w:r>
      <w:proofErr w:type="spellStart"/>
      <w:r w:rsidR="00A97D43" w:rsidRPr="000B2B38">
        <w:t>Florez</w:t>
      </w:r>
      <w:proofErr w:type="spellEnd"/>
      <w:r w:rsidR="00A97D43" w:rsidRPr="000B2B38">
        <w:t xml:space="preserve">, &amp; </w:t>
      </w:r>
      <w:proofErr w:type="spellStart"/>
      <w:r w:rsidR="00A97D43" w:rsidRPr="000B2B38">
        <w:t>Troen</w:t>
      </w:r>
      <w:proofErr w:type="spellEnd"/>
      <w:r w:rsidR="00A97D43" w:rsidRPr="000B2B38">
        <w:t xml:space="preserve">, 2007). </w:t>
      </w:r>
    </w:p>
    <w:p w:rsidR="002A688B" w:rsidRPr="002A688B" w:rsidRDefault="002A688B" w:rsidP="003E2258">
      <w:pPr>
        <w:spacing w:line="480" w:lineRule="auto"/>
        <w:contextualSpacing/>
        <w:rPr>
          <w:color w:val="FF0000"/>
        </w:rPr>
      </w:pPr>
      <w:r>
        <w:t xml:space="preserve"> </w:t>
      </w:r>
      <w:proofErr w:type="gramStart"/>
      <w:r w:rsidRPr="002A688B">
        <w:rPr>
          <w:rFonts w:ascii="ITCGaramondStd-Bk" w:hAnsi="ITCGaramondStd-Bk" w:cs="ITCGaramondStd-Bk"/>
          <w:color w:val="FF0000"/>
          <w:sz w:val="20"/>
          <w:szCs w:val="20"/>
        </w:rPr>
        <w:t>A, B, D, and E.</w:t>
      </w:r>
      <w:proofErr w:type="gramEnd"/>
    </w:p>
    <w:p w:rsidR="00876D98" w:rsidRDefault="00A97D43" w:rsidP="003E2258">
      <w:pPr>
        <w:spacing w:line="480" w:lineRule="auto"/>
        <w:contextualSpacing/>
      </w:pPr>
      <w:r w:rsidRPr="00295FE4">
        <w:t xml:space="preserve">9.  </w:t>
      </w:r>
      <w:r w:rsidR="00295FE4" w:rsidRPr="00295FE4">
        <w:t xml:space="preserve">Tai chi is a </w:t>
      </w:r>
      <w:r w:rsidR="00295FE4">
        <w:t>“</w:t>
      </w:r>
      <w:r w:rsidR="00295FE4" w:rsidRPr="00295FE4">
        <w:t>slow and gentle exercise regime that involves both physical movement and meditation to improve balance and gait</w:t>
      </w:r>
      <w:r w:rsidR="00295FE4">
        <w:t xml:space="preserve">” </w:t>
      </w:r>
      <w:r w:rsidR="00295FE4" w:rsidRPr="00295FE4">
        <w:t>(Adler &amp; Roberts, 2006)</w:t>
      </w:r>
      <w:r w:rsidR="00295FE4">
        <w:t xml:space="preserve">.  Using tai chi may help older people with frailty to become more balanced.  If they become more balanced, they may have less of a chance of falling.  Improving their balance may also make them more mobile.  </w:t>
      </w:r>
    </w:p>
    <w:p w:rsidR="006F2B3C" w:rsidRDefault="00876D98" w:rsidP="003E2258">
      <w:pPr>
        <w:spacing w:line="480" w:lineRule="auto"/>
        <w:contextualSpacing/>
      </w:pPr>
      <w:r>
        <w:t xml:space="preserve">10.  </w:t>
      </w:r>
      <w:r w:rsidR="00CF4583">
        <w:t xml:space="preserve">An environment that has a universal design is one that has a design that is sensitive to older peoples’ needs.  Some of these designs may contain grab bars, lower toilet seats, proper </w:t>
      </w:r>
      <w:r w:rsidR="00CF4583">
        <w:lastRenderedPageBreak/>
        <w:t>lighting, wider doorways, and non-slip rugs (</w:t>
      </w:r>
      <w:proofErr w:type="spellStart"/>
      <w:r w:rsidR="00CF4583" w:rsidRPr="000B2B38">
        <w:t>Benefield</w:t>
      </w:r>
      <w:proofErr w:type="spellEnd"/>
      <w:r w:rsidR="00CF4583" w:rsidRPr="000B2B38">
        <w:t xml:space="preserve"> &amp; </w:t>
      </w:r>
      <w:proofErr w:type="spellStart"/>
      <w:r w:rsidR="00CF4583" w:rsidRPr="000B2B38">
        <w:t>Higbee</w:t>
      </w:r>
      <w:proofErr w:type="spellEnd"/>
      <w:r w:rsidR="00CF4583" w:rsidRPr="000B2B38">
        <w:t>,</w:t>
      </w:r>
      <w:r w:rsidR="00CF4583">
        <w:t xml:space="preserve"> 2007).  </w:t>
      </w:r>
      <w:r w:rsidR="003E2258">
        <w:t>These designs make it easier for older people to move around and are</w:t>
      </w:r>
      <w:r w:rsidR="00CF4583">
        <w:t xml:space="preserve"> safer for from so that they have a lower risk of falling.  </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Installing standard electrical receptacles higher than usual above the floor, so they</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proofErr w:type="gramStart"/>
      <w:r w:rsidRPr="002A688B">
        <w:rPr>
          <w:rFonts w:ascii="ITCGaramondStd-Bk" w:hAnsi="ITCGaramondStd-Bk" w:cs="ITCGaramondStd-Bk"/>
          <w:color w:val="FF0000"/>
          <w:sz w:val="20"/>
          <w:szCs w:val="20"/>
        </w:rPr>
        <w:t>are</w:t>
      </w:r>
      <w:proofErr w:type="gramEnd"/>
      <w:r w:rsidRPr="002A688B">
        <w:rPr>
          <w:rFonts w:ascii="ITCGaramondStd-Bk" w:hAnsi="ITCGaramondStd-Bk" w:cs="ITCGaramondStd-Bk"/>
          <w:color w:val="FF0000"/>
          <w:sz w:val="20"/>
          <w:szCs w:val="20"/>
        </w:rPr>
        <w:t xml:space="preserve"> in easy reach of everyone;</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Selecting wider doors, along with wider hallways;</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Making flat entrances;</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Installing handles for doors and drawers that require no gripping or twisting to</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proofErr w:type="gramStart"/>
      <w:r w:rsidRPr="002A688B">
        <w:rPr>
          <w:rFonts w:ascii="ITCGaramondStd-Bk" w:hAnsi="ITCGaramondStd-Bk" w:cs="ITCGaramondStd-Bk"/>
          <w:color w:val="FF0000"/>
          <w:sz w:val="20"/>
          <w:szCs w:val="20"/>
        </w:rPr>
        <w:t>operate—</w:t>
      </w:r>
      <w:proofErr w:type="gramEnd"/>
      <w:r w:rsidRPr="002A688B">
        <w:rPr>
          <w:rFonts w:ascii="ITCGaramondStd-Bk" w:hAnsi="ITCGaramondStd-Bk" w:cs="ITCGaramondStd-Bk"/>
          <w:color w:val="FF0000"/>
          <w:sz w:val="20"/>
          <w:szCs w:val="20"/>
        </w:rPr>
        <w:t>such as louver or loop handles;</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Provide storage spaces within reach of both short and tall people;</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Minimize the need for staircases;</w:t>
      </w:r>
    </w:p>
    <w:p w:rsidR="002A688B" w:rsidRPr="002A688B" w:rsidRDefault="002A688B" w:rsidP="002A688B">
      <w:pPr>
        <w:autoSpaceDE w:val="0"/>
        <w:autoSpaceDN w:val="0"/>
        <w:adjustRightInd w:val="0"/>
        <w:spacing w:after="0" w:line="240" w:lineRule="auto"/>
        <w:ind w:firstLine="0"/>
        <w:rPr>
          <w:rFonts w:ascii="ITCGaramondStd-Bk" w:hAnsi="ITCGaramondStd-Bk" w:cs="ITCGaramondStd-Bk"/>
          <w:color w:val="FF0000"/>
          <w:sz w:val="20"/>
          <w:szCs w:val="20"/>
        </w:rPr>
      </w:pPr>
      <w:r w:rsidRPr="002A688B">
        <w:rPr>
          <w:rFonts w:ascii="ITCGaramondStd-Bk" w:hAnsi="ITCGaramondStd-Bk" w:cs="ITCGaramondStd-Bk"/>
          <w:color w:val="FF0000"/>
          <w:sz w:val="20"/>
          <w:szCs w:val="20"/>
        </w:rPr>
        <w:t>• Any and all procedures, equipment, and strategies promoting safety to avoid</w:t>
      </w:r>
    </w:p>
    <w:p w:rsidR="002A688B" w:rsidRPr="002A688B" w:rsidRDefault="002A688B" w:rsidP="002A688B">
      <w:pPr>
        <w:spacing w:line="480" w:lineRule="auto"/>
        <w:contextualSpacing/>
        <w:rPr>
          <w:color w:val="FF0000"/>
        </w:rPr>
      </w:pPr>
      <w:proofErr w:type="gramStart"/>
      <w:r w:rsidRPr="002A688B">
        <w:rPr>
          <w:rFonts w:ascii="ITCGaramondStd-Bk" w:hAnsi="ITCGaramondStd-Bk" w:cs="ITCGaramondStd-Bk"/>
          <w:color w:val="FF0000"/>
          <w:sz w:val="20"/>
          <w:szCs w:val="20"/>
        </w:rPr>
        <w:t>falls</w:t>
      </w:r>
      <w:proofErr w:type="gramEnd"/>
      <w:r w:rsidRPr="002A688B">
        <w:rPr>
          <w:rFonts w:ascii="ITCGaramondStd-Bk" w:hAnsi="ITCGaramondStd-Bk" w:cs="ITCGaramondStd-Bk"/>
          <w:color w:val="FF0000"/>
          <w:sz w:val="20"/>
          <w:szCs w:val="20"/>
        </w:rPr>
        <w:t xml:space="preserve"> or injuries.</w:t>
      </w: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3E2258">
      <w:pPr>
        <w:spacing w:line="480" w:lineRule="auto"/>
        <w:contextualSpacing/>
      </w:pPr>
    </w:p>
    <w:p w:rsidR="000315D5" w:rsidRDefault="000315D5" w:rsidP="000315D5">
      <w:pPr>
        <w:spacing w:line="480" w:lineRule="auto"/>
        <w:contextualSpacing/>
        <w:jc w:val="center"/>
        <w:rPr>
          <w:u w:val="single"/>
        </w:rPr>
      </w:pPr>
      <w:r>
        <w:rPr>
          <w:u w:val="single"/>
        </w:rPr>
        <w:t>References:</w:t>
      </w:r>
    </w:p>
    <w:p w:rsidR="000315D5" w:rsidRPr="00E50A6C" w:rsidRDefault="000315D5" w:rsidP="000315D5">
      <w:pPr>
        <w:ind w:firstLine="0"/>
      </w:pPr>
      <w:r w:rsidRPr="00E50A6C">
        <w:t xml:space="preserve">Mauk, K. L. (2010). </w:t>
      </w:r>
      <w:r w:rsidRPr="00E50A6C">
        <w:rPr>
          <w:rStyle w:val="Emphasis"/>
        </w:rPr>
        <w:t xml:space="preserve">Gerontological nursing competencies for care </w:t>
      </w:r>
      <w:r w:rsidRPr="00E50A6C">
        <w:t>(2</w:t>
      </w:r>
      <w:r w:rsidRPr="00E50A6C">
        <w:rPr>
          <w:vertAlign w:val="superscript"/>
        </w:rPr>
        <w:t>nd</w:t>
      </w:r>
      <w:r w:rsidRPr="00E50A6C">
        <w:t xml:space="preserve"> </w:t>
      </w:r>
      <w:proofErr w:type="gramStart"/>
      <w:r w:rsidRPr="00E50A6C">
        <w:t>ed</w:t>
      </w:r>
      <w:proofErr w:type="gramEnd"/>
      <w:r w:rsidRPr="00E50A6C">
        <w:t>.).</w:t>
      </w:r>
      <w:r>
        <w:t xml:space="preserve"> </w:t>
      </w:r>
      <w:r w:rsidRPr="00E50A6C">
        <w:t xml:space="preserve">Sudbury, MA: </w:t>
      </w:r>
      <w:r>
        <w:tab/>
      </w:r>
      <w:r w:rsidRPr="00E50A6C">
        <w:t xml:space="preserve">Jones and </w:t>
      </w:r>
      <w:proofErr w:type="spellStart"/>
      <w:r w:rsidRPr="00E50A6C">
        <w:t>Barlett</w:t>
      </w:r>
      <w:proofErr w:type="spellEnd"/>
      <w:r w:rsidRPr="00E50A6C">
        <w:t xml:space="preserve"> </w:t>
      </w:r>
      <w:commentRangeStart w:id="3"/>
      <w:r w:rsidRPr="00E50A6C">
        <w:t>Publishers.</w:t>
      </w:r>
      <w:commentRangeEnd w:id="3"/>
      <w:r w:rsidR="002A688B">
        <w:rPr>
          <w:rStyle w:val="CommentReference"/>
        </w:rPr>
        <w:commentReference w:id="3"/>
      </w: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i/>
          <w:szCs w:val="22"/>
        </w:rPr>
      </w:pPr>
      <w:proofErr w:type="gramStart"/>
      <w:r w:rsidRPr="000B2B38">
        <w:rPr>
          <w:szCs w:val="22"/>
        </w:rPr>
        <w:t xml:space="preserve">Anderson, G., Darer, J., Fried, L.P., </w:t>
      </w:r>
      <w:proofErr w:type="spellStart"/>
      <w:r w:rsidRPr="000B2B38">
        <w:rPr>
          <w:szCs w:val="22"/>
        </w:rPr>
        <w:t>Ferrucci</w:t>
      </w:r>
      <w:proofErr w:type="spellEnd"/>
      <w:r w:rsidRPr="000B2B38">
        <w:rPr>
          <w:szCs w:val="22"/>
        </w:rPr>
        <w:t>, L., &amp; Williamson, J.D. (2004).</w:t>
      </w:r>
      <w:proofErr w:type="gramEnd"/>
      <w:r w:rsidRPr="000B2B38">
        <w:rPr>
          <w:szCs w:val="22"/>
        </w:rPr>
        <w:t xml:space="preserve"> </w:t>
      </w:r>
      <w:proofErr w:type="gramStart"/>
      <w:r w:rsidRPr="000B2B38">
        <w:rPr>
          <w:szCs w:val="22"/>
        </w:rPr>
        <w:t>Untangling the concepts of disability frailty and comorbidity: Implications for improved targeting and care.</w:t>
      </w:r>
      <w:proofErr w:type="gramEnd"/>
      <w:r w:rsidRPr="000B2B38">
        <w:rPr>
          <w:szCs w:val="22"/>
        </w:rPr>
        <w:t xml:space="preserve"> </w:t>
      </w:r>
      <w:proofErr w:type="gramStart"/>
      <w:r w:rsidRPr="000B2B38">
        <w:rPr>
          <w:i/>
          <w:szCs w:val="22"/>
        </w:rPr>
        <w:t>Journals of Gerontology Series A- Biological Sciences &amp; Medical Sciences</w:t>
      </w:r>
      <w:r>
        <w:rPr>
          <w:i/>
          <w:szCs w:val="22"/>
        </w:rPr>
        <w:t>.</w:t>
      </w:r>
      <w:proofErr w:type="gramEnd"/>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i/>
          <w:szCs w:val="22"/>
        </w:rPr>
      </w:pP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rFonts w:cs="Verdana"/>
          <w:i/>
          <w:iCs/>
          <w:szCs w:val="22"/>
        </w:rPr>
      </w:pPr>
      <w:proofErr w:type="spellStart"/>
      <w:r w:rsidRPr="000B2B38">
        <w:rPr>
          <w:rFonts w:cs="Verdana"/>
          <w:szCs w:val="22"/>
        </w:rPr>
        <w:t>Bartali</w:t>
      </w:r>
      <w:proofErr w:type="spellEnd"/>
      <w:r w:rsidRPr="000B2B38">
        <w:rPr>
          <w:rFonts w:cs="Verdana"/>
          <w:szCs w:val="22"/>
        </w:rPr>
        <w:t xml:space="preserve">, B., </w:t>
      </w:r>
      <w:proofErr w:type="spellStart"/>
      <w:r w:rsidRPr="000B2B38">
        <w:rPr>
          <w:rFonts w:cs="Verdana"/>
          <w:szCs w:val="22"/>
        </w:rPr>
        <w:t>Frongillo</w:t>
      </w:r>
      <w:proofErr w:type="spellEnd"/>
      <w:r w:rsidRPr="000B2B38">
        <w:rPr>
          <w:rFonts w:cs="Verdana"/>
          <w:szCs w:val="22"/>
        </w:rPr>
        <w:t xml:space="preserve">, E. A., </w:t>
      </w:r>
      <w:proofErr w:type="spellStart"/>
      <w:r w:rsidRPr="000B2B38">
        <w:rPr>
          <w:rFonts w:cs="Verdana"/>
          <w:szCs w:val="22"/>
        </w:rPr>
        <w:t>Bandinelli</w:t>
      </w:r>
      <w:proofErr w:type="spellEnd"/>
      <w:r w:rsidRPr="000B2B38">
        <w:rPr>
          <w:rFonts w:cs="Verdana"/>
          <w:szCs w:val="22"/>
        </w:rPr>
        <w:t xml:space="preserve">, S., </w:t>
      </w:r>
      <w:proofErr w:type="spellStart"/>
      <w:r w:rsidRPr="000B2B38">
        <w:rPr>
          <w:rFonts w:cs="Verdana"/>
          <w:szCs w:val="22"/>
        </w:rPr>
        <w:t>Lauretani</w:t>
      </w:r>
      <w:proofErr w:type="spellEnd"/>
      <w:r w:rsidRPr="000B2B38">
        <w:rPr>
          <w:rFonts w:cs="Verdana"/>
          <w:szCs w:val="22"/>
        </w:rPr>
        <w:t xml:space="preserve">, F., </w:t>
      </w:r>
      <w:proofErr w:type="spellStart"/>
      <w:r w:rsidRPr="000B2B38">
        <w:rPr>
          <w:rFonts w:cs="Verdana"/>
          <w:szCs w:val="22"/>
        </w:rPr>
        <w:t>Semba</w:t>
      </w:r>
      <w:proofErr w:type="spellEnd"/>
      <w:r w:rsidRPr="000B2B38">
        <w:rPr>
          <w:rFonts w:cs="Verdana"/>
          <w:szCs w:val="22"/>
        </w:rPr>
        <w:t xml:space="preserve">, R. D., Fried, L. P., et al. (2006). Low nutrient intake is an essential component of frailty in older persons. </w:t>
      </w:r>
      <w:proofErr w:type="gramStart"/>
      <w:r w:rsidRPr="000B2B38">
        <w:rPr>
          <w:rFonts w:cs="Verdana"/>
          <w:i/>
          <w:iCs/>
          <w:szCs w:val="22"/>
        </w:rPr>
        <w:t>Journals of Gerontology Series A-Biological Sciences &amp; Medical Science</w:t>
      </w:r>
      <w:r>
        <w:rPr>
          <w:rFonts w:cs="Verdana"/>
          <w:i/>
          <w:iCs/>
          <w:szCs w:val="22"/>
        </w:rPr>
        <w:t>s.</w:t>
      </w:r>
      <w:proofErr w:type="gramEnd"/>
    </w:p>
    <w:p w:rsidR="000315D5" w:rsidRPr="000B2B38"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roofErr w:type="spellStart"/>
      <w:r w:rsidRPr="000B2B38">
        <w:rPr>
          <w:szCs w:val="22"/>
        </w:rPr>
        <w:t>Benefield</w:t>
      </w:r>
      <w:proofErr w:type="spellEnd"/>
      <w:r w:rsidRPr="000B2B38">
        <w:rPr>
          <w:szCs w:val="22"/>
        </w:rPr>
        <w:t xml:space="preserve">, L.E., </w:t>
      </w:r>
      <w:proofErr w:type="spellStart"/>
      <w:r w:rsidRPr="000B2B38">
        <w:rPr>
          <w:szCs w:val="22"/>
        </w:rPr>
        <w:t>Higbee</w:t>
      </w:r>
      <w:proofErr w:type="spellEnd"/>
      <w:r w:rsidRPr="000B2B38">
        <w:rPr>
          <w:szCs w:val="22"/>
        </w:rPr>
        <w:t xml:space="preserve">, R.L. (2007). </w:t>
      </w:r>
      <w:proofErr w:type="gramStart"/>
      <w:r w:rsidRPr="000B2B38">
        <w:rPr>
          <w:szCs w:val="22"/>
        </w:rPr>
        <w:t>Frailty and its implications for care.</w:t>
      </w:r>
      <w:proofErr w:type="gramEnd"/>
      <w:r w:rsidRPr="000B2B38">
        <w:rPr>
          <w:szCs w:val="22"/>
        </w:rPr>
        <w:t xml:space="preserve"> </w:t>
      </w:r>
      <w:proofErr w:type="gramStart"/>
      <w:r w:rsidRPr="000B2B38">
        <w:rPr>
          <w:i/>
          <w:szCs w:val="22"/>
        </w:rPr>
        <w:t>Hartford Institute for Geriatric Nursing</w:t>
      </w:r>
      <w:r w:rsidRPr="000B2B38">
        <w:rPr>
          <w:szCs w:val="22"/>
        </w:rPr>
        <w:t>.</w:t>
      </w:r>
      <w:proofErr w:type="gramEnd"/>
      <w:r w:rsidRPr="000B2B38">
        <w:rPr>
          <w:szCs w:val="22"/>
        </w:rPr>
        <w:t xml:space="preserve"> Retrieved </w:t>
      </w:r>
      <w:r>
        <w:rPr>
          <w:szCs w:val="22"/>
        </w:rPr>
        <w:t xml:space="preserve">on </w:t>
      </w:r>
      <w:commentRangeStart w:id="4"/>
      <w:r>
        <w:rPr>
          <w:szCs w:val="22"/>
        </w:rPr>
        <w:t xml:space="preserve">February 18, 2012, </w:t>
      </w:r>
      <w:commentRangeEnd w:id="4"/>
      <w:r w:rsidR="002A688B">
        <w:rPr>
          <w:rStyle w:val="CommentReference"/>
        </w:rPr>
        <w:commentReference w:id="4"/>
      </w:r>
      <w:r w:rsidRPr="000B2B38">
        <w:rPr>
          <w:szCs w:val="22"/>
        </w:rPr>
        <w:t>from</w:t>
      </w:r>
      <w:r>
        <w:rPr>
          <w:szCs w:val="22"/>
        </w:rPr>
        <w:t xml:space="preserve"> </w:t>
      </w: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r>
        <w:rPr>
          <w:szCs w:val="22"/>
        </w:rPr>
        <w:tab/>
      </w:r>
      <w:hyperlink r:id="rId8" w:anchor="item_4" w:history="1">
        <w:r w:rsidRPr="00236006">
          <w:rPr>
            <w:rStyle w:val="Hyperlink"/>
            <w:szCs w:val="22"/>
          </w:rPr>
          <w:t>http://consultgerirn.org/topics/frailty_and_its_implications_for_care_new/want_to_know_more#item_4</w:t>
        </w:r>
      </w:hyperlink>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r w:rsidRPr="000B2B38">
        <w:rPr>
          <w:szCs w:val="22"/>
        </w:rPr>
        <w:t>Espinoza, S.E.,</w:t>
      </w:r>
      <w:r w:rsidR="002A688B">
        <w:rPr>
          <w:szCs w:val="22"/>
        </w:rPr>
        <w:t xml:space="preserve"> </w:t>
      </w:r>
      <w:proofErr w:type="gramStart"/>
      <w:r w:rsidR="002A688B">
        <w:rPr>
          <w:color w:val="FF0000"/>
          <w:szCs w:val="22"/>
        </w:rPr>
        <w:t>&amp;</w:t>
      </w:r>
      <w:r w:rsidR="002A688B">
        <w:rPr>
          <w:szCs w:val="22"/>
        </w:rPr>
        <w:t xml:space="preserve"> </w:t>
      </w:r>
      <w:r w:rsidRPr="000B2B38">
        <w:rPr>
          <w:szCs w:val="22"/>
        </w:rPr>
        <w:t xml:space="preserve"> Fried</w:t>
      </w:r>
      <w:proofErr w:type="gramEnd"/>
      <w:r w:rsidRPr="000B2B38">
        <w:rPr>
          <w:szCs w:val="22"/>
        </w:rPr>
        <w:t xml:space="preserve">, L.P. (2007). </w:t>
      </w:r>
      <w:proofErr w:type="gramStart"/>
      <w:r w:rsidRPr="000B2B38">
        <w:rPr>
          <w:szCs w:val="22"/>
        </w:rPr>
        <w:t>Risk factors for frailty in the older adult.</w:t>
      </w:r>
      <w:proofErr w:type="gramEnd"/>
      <w:r w:rsidRPr="000B2B38">
        <w:rPr>
          <w:szCs w:val="22"/>
        </w:rPr>
        <w:t xml:space="preserve"> </w:t>
      </w:r>
      <w:r w:rsidRPr="000B2B38">
        <w:rPr>
          <w:i/>
          <w:szCs w:val="22"/>
        </w:rPr>
        <w:t>Clinical Geriatrics, 15</w:t>
      </w:r>
      <w:r w:rsidRPr="000B2B38">
        <w:rPr>
          <w:szCs w:val="22"/>
        </w:rPr>
        <w:t xml:space="preserve">(6), 37-44. </w:t>
      </w:r>
      <w:commentRangeStart w:id="5"/>
      <w:r w:rsidRPr="000B2B38">
        <w:rPr>
          <w:szCs w:val="22"/>
        </w:rPr>
        <w:t>Retrieved</w:t>
      </w:r>
      <w:r>
        <w:rPr>
          <w:szCs w:val="22"/>
        </w:rPr>
        <w:t xml:space="preserve"> February 18, 2012</w:t>
      </w:r>
      <w:commentRangeEnd w:id="5"/>
      <w:r w:rsidR="002A688B">
        <w:rPr>
          <w:rStyle w:val="CommentReference"/>
        </w:rPr>
        <w:commentReference w:id="5"/>
      </w:r>
      <w:r>
        <w:rPr>
          <w:szCs w:val="22"/>
        </w:rPr>
        <w:t>,</w:t>
      </w:r>
      <w:r w:rsidRPr="000B2B38">
        <w:rPr>
          <w:szCs w:val="22"/>
        </w:rPr>
        <w:t xml:space="preserve"> from</w:t>
      </w: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r>
        <w:rPr>
          <w:szCs w:val="22"/>
        </w:rPr>
        <w:tab/>
      </w:r>
      <w:r w:rsidRPr="000B2B38">
        <w:rPr>
          <w:szCs w:val="22"/>
        </w:rPr>
        <w:t xml:space="preserve"> </w:t>
      </w:r>
      <w:hyperlink r:id="rId9" w:history="1">
        <w:r w:rsidRPr="00236006">
          <w:rPr>
            <w:rStyle w:val="Hyperlink"/>
            <w:szCs w:val="22"/>
          </w:rPr>
          <w:t>http://www.imsersomayores.csic.es/documentos/boletin/2007/numero-52/art-07-07-01.pdf</w:t>
        </w:r>
      </w:hyperlink>
    </w:p>
    <w:p w:rsidR="009816D4" w:rsidRDefault="009816D4"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9816D4" w:rsidRDefault="009816D4" w:rsidP="009816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rFonts w:cs="Verdana"/>
          <w:szCs w:val="22"/>
        </w:rPr>
      </w:pPr>
      <w:r w:rsidRPr="000B2B38">
        <w:rPr>
          <w:rFonts w:cs="Verdana"/>
          <w:szCs w:val="22"/>
        </w:rPr>
        <w:t xml:space="preserve">Hogan, D. B., </w:t>
      </w:r>
      <w:proofErr w:type="spellStart"/>
      <w:r w:rsidRPr="000B2B38">
        <w:rPr>
          <w:rFonts w:cs="Verdana"/>
          <w:szCs w:val="22"/>
        </w:rPr>
        <w:t>MacKnight</w:t>
      </w:r>
      <w:proofErr w:type="spellEnd"/>
      <w:r w:rsidRPr="000B2B38">
        <w:rPr>
          <w:rFonts w:cs="Verdana"/>
          <w:szCs w:val="22"/>
        </w:rPr>
        <w:t xml:space="preserve">, C., &amp; Rockwood, K. (2000). </w:t>
      </w:r>
      <w:proofErr w:type="spellStart"/>
      <w:proofErr w:type="gramStart"/>
      <w:r w:rsidRPr="000B2B38">
        <w:rPr>
          <w:rFonts w:cs="Verdana"/>
          <w:szCs w:val="22"/>
        </w:rPr>
        <w:t>Conceptualisation</w:t>
      </w:r>
      <w:proofErr w:type="spellEnd"/>
      <w:r w:rsidRPr="000B2B38">
        <w:rPr>
          <w:rFonts w:cs="Verdana"/>
          <w:szCs w:val="22"/>
        </w:rPr>
        <w:t xml:space="preserve"> and measurement of frailty in elderly people.</w:t>
      </w:r>
      <w:proofErr w:type="gramEnd"/>
      <w:r w:rsidRPr="000B2B38">
        <w:rPr>
          <w:rFonts w:cs="Verdana"/>
          <w:szCs w:val="22"/>
        </w:rPr>
        <w:t xml:space="preserve"> </w:t>
      </w:r>
      <w:proofErr w:type="gramStart"/>
      <w:r w:rsidRPr="000B2B38">
        <w:rPr>
          <w:rFonts w:cs="Verdana"/>
          <w:i/>
          <w:iCs/>
          <w:szCs w:val="22"/>
        </w:rPr>
        <w:t>Drugs &amp; Aging</w:t>
      </w:r>
      <w:r w:rsidRPr="000B2B38">
        <w:rPr>
          <w:rFonts w:cs="Verdana"/>
          <w:szCs w:val="22"/>
        </w:rPr>
        <w:t>.</w:t>
      </w:r>
      <w:proofErr w:type="gramEnd"/>
      <w:r w:rsidRPr="000B2B38">
        <w:rPr>
          <w:rFonts w:cs="Verdana"/>
          <w:szCs w:val="22"/>
        </w:rPr>
        <w:t xml:space="preserve"> Retrieved</w:t>
      </w:r>
      <w:r>
        <w:rPr>
          <w:rFonts w:cs="Verdana"/>
          <w:szCs w:val="22"/>
        </w:rPr>
        <w:t xml:space="preserve"> </w:t>
      </w:r>
      <w:commentRangeStart w:id="6"/>
      <w:r>
        <w:rPr>
          <w:rFonts w:cs="Verdana"/>
          <w:szCs w:val="22"/>
        </w:rPr>
        <w:t>on February 18, 2012</w:t>
      </w:r>
      <w:commentRangeEnd w:id="6"/>
      <w:r w:rsidR="002A688B">
        <w:rPr>
          <w:rStyle w:val="CommentReference"/>
        </w:rPr>
        <w:commentReference w:id="6"/>
      </w:r>
      <w:r>
        <w:rPr>
          <w:rFonts w:cs="Verdana"/>
          <w:szCs w:val="22"/>
        </w:rPr>
        <w:t>,</w:t>
      </w:r>
      <w:r w:rsidRPr="000B2B38">
        <w:rPr>
          <w:rFonts w:cs="Verdana"/>
          <w:szCs w:val="22"/>
        </w:rPr>
        <w:t xml:space="preserve"> from </w:t>
      </w:r>
      <w:hyperlink r:id="rId10" w:history="1">
        <w:r w:rsidRPr="00236006">
          <w:rPr>
            <w:rStyle w:val="Hyperlink"/>
            <w:rFonts w:cs="Verdana"/>
            <w:szCs w:val="22"/>
          </w:rPr>
          <w:t>http://consultgerirn.org/topics/frailty_and_its_implications_for_care_new/want_to_know_more</w:t>
        </w:r>
      </w:hyperlink>
    </w:p>
    <w:p w:rsidR="009816D4" w:rsidRPr="00965F45" w:rsidRDefault="009816D4" w:rsidP="009816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A7556F"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roofErr w:type="spellStart"/>
      <w:r w:rsidRPr="000B2B38">
        <w:rPr>
          <w:szCs w:val="22"/>
        </w:rPr>
        <w:t>Cherniack</w:t>
      </w:r>
      <w:proofErr w:type="spellEnd"/>
      <w:r w:rsidRPr="000B2B38">
        <w:rPr>
          <w:szCs w:val="22"/>
        </w:rPr>
        <w:t xml:space="preserve"> E.P., Hermes, J.F., </w:t>
      </w:r>
      <w:proofErr w:type="spellStart"/>
      <w:r w:rsidRPr="000B2B38">
        <w:rPr>
          <w:szCs w:val="22"/>
        </w:rPr>
        <w:t>Troen</w:t>
      </w:r>
      <w:proofErr w:type="spellEnd"/>
      <w:r w:rsidRPr="000B2B38">
        <w:rPr>
          <w:szCs w:val="22"/>
        </w:rPr>
        <w:t xml:space="preserve">, B.R. (2011). </w:t>
      </w:r>
      <w:proofErr w:type="gramStart"/>
      <w:r w:rsidRPr="000B2B38">
        <w:rPr>
          <w:szCs w:val="22"/>
        </w:rPr>
        <w:t>Emerging therapies to treat frailty syndrome in the elderly.</w:t>
      </w:r>
      <w:proofErr w:type="gramEnd"/>
      <w:r w:rsidRPr="000B2B38">
        <w:rPr>
          <w:szCs w:val="22"/>
        </w:rPr>
        <w:t xml:space="preserve"> </w:t>
      </w:r>
      <w:proofErr w:type="gramStart"/>
      <w:r w:rsidRPr="000B2B38">
        <w:rPr>
          <w:i/>
          <w:szCs w:val="22"/>
        </w:rPr>
        <w:t>Alternative Medicine Review</w:t>
      </w:r>
      <w:r w:rsidRPr="000B2B38">
        <w:rPr>
          <w:szCs w:val="22"/>
        </w:rPr>
        <w:t>.</w:t>
      </w:r>
      <w:proofErr w:type="gramEnd"/>
      <w:r w:rsidRPr="000B2B38">
        <w:rPr>
          <w:szCs w:val="22"/>
        </w:rPr>
        <w:t xml:space="preserve"> Retrieved </w:t>
      </w:r>
      <w:commentRangeStart w:id="7"/>
      <w:r>
        <w:rPr>
          <w:szCs w:val="22"/>
        </w:rPr>
        <w:t>on February 18, 2012</w:t>
      </w:r>
      <w:commentRangeEnd w:id="7"/>
      <w:r w:rsidR="002A688B">
        <w:rPr>
          <w:rStyle w:val="CommentReference"/>
        </w:rPr>
        <w:commentReference w:id="7"/>
      </w:r>
      <w:r>
        <w:rPr>
          <w:szCs w:val="22"/>
        </w:rPr>
        <w:t xml:space="preserve">, </w:t>
      </w:r>
      <w:r w:rsidRPr="000B2B38">
        <w:rPr>
          <w:szCs w:val="22"/>
        </w:rPr>
        <w:t>from</w:t>
      </w:r>
    </w:p>
    <w:p w:rsidR="00A7556F"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color w:val="1F497D" w:themeColor="text2"/>
          <w:szCs w:val="22"/>
          <w:u w:val="single"/>
        </w:rPr>
      </w:pPr>
      <w:r w:rsidRPr="000B2B38">
        <w:rPr>
          <w:szCs w:val="22"/>
        </w:rPr>
        <w:t xml:space="preserve"> </w:t>
      </w:r>
      <w:r>
        <w:rPr>
          <w:szCs w:val="22"/>
        </w:rPr>
        <w:tab/>
      </w:r>
      <w:hyperlink r:id="rId11" w:history="1">
        <w:r w:rsidRPr="00236006">
          <w:rPr>
            <w:rStyle w:val="Hyperlink"/>
            <w:szCs w:val="22"/>
          </w:rPr>
          <w:t>http://findarticles.com/p/articles/mi_m0FDN/is_3_12/ai_n27421818/?tag=content;col1</w:t>
        </w:r>
      </w:hyperlink>
    </w:p>
    <w:p w:rsidR="00A7556F" w:rsidRPr="00A7556F"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color w:val="1F497D" w:themeColor="text2"/>
          <w:szCs w:val="22"/>
          <w:u w:val="single"/>
        </w:rPr>
      </w:pPr>
    </w:p>
    <w:p w:rsidR="00A7556F"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A7556F"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A7556F" w:rsidRPr="000B2B38" w:rsidRDefault="00A7556F" w:rsidP="00A7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9816D4" w:rsidRDefault="009816D4" w:rsidP="009816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Pr="000B2B38"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Pr="000B2B38"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Pr="000B2B38" w:rsidRDefault="000315D5" w:rsidP="0003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hanging="562"/>
        <w:contextualSpacing/>
        <w:rPr>
          <w:szCs w:val="22"/>
        </w:rPr>
      </w:pPr>
    </w:p>
    <w:p w:rsidR="000315D5" w:rsidRPr="000315D5" w:rsidRDefault="000315D5" w:rsidP="000315D5">
      <w:pPr>
        <w:spacing w:line="480" w:lineRule="auto"/>
        <w:contextualSpacing/>
      </w:pPr>
    </w:p>
    <w:p w:rsidR="00FF3815" w:rsidRPr="00190B72" w:rsidRDefault="00FF3815" w:rsidP="003E2258">
      <w:pPr>
        <w:autoSpaceDE w:val="0"/>
        <w:autoSpaceDN w:val="0"/>
        <w:adjustRightInd w:val="0"/>
        <w:spacing w:after="0" w:line="480" w:lineRule="auto"/>
      </w:pPr>
    </w:p>
    <w:p w:rsidR="0030294A" w:rsidRPr="00190B72" w:rsidRDefault="0030294A" w:rsidP="003E2258">
      <w:pPr>
        <w:autoSpaceDE w:val="0"/>
        <w:autoSpaceDN w:val="0"/>
        <w:adjustRightInd w:val="0"/>
        <w:spacing w:after="0" w:line="480" w:lineRule="auto"/>
        <w:ind w:firstLine="0"/>
      </w:pPr>
    </w:p>
    <w:p w:rsidR="001D186C" w:rsidRPr="000F453E" w:rsidRDefault="001D186C" w:rsidP="001D186C">
      <w:pPr>
        <w:jc w:val="center"/>
      </w:pPr>
    </w:p>
    <w:p w:rsidR="00AC65FF" w:rsidRDefault="00AC65FF" w:rsidP="001D186C">
      <w:pPr>
        <w:jc w:val="center"/>
      </w:pPr>
    </w:p>
    <w:sectPr w:rsidR="00AC65FF" w:rsidSect="001D186C">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5T17:23:00Z" w:initials="M">
    <w:p w:rsidR="002A688B" w:rsidRDefault="002A688B">
      <w:pPr>
        <w:pStyle w:val="CommentText"/>
      </w:pPr>
      <w:r>
        <w:rPr>
          <w:rStyle w:val="CommentReference"/>
        </w:rPr>
        <w:annotationRef/>
      </w:r>
      <w:r>
        <w:t>Page number</w:t>
      </w:r>
    </w:p>
  </w:comment>
  <w:comment w:id="1" w:author="Mary" w:date="2012-02-25T17:15:00Z" w:initials="M">
    <w:p w:rsidR="002A688B" w:rsidRDefault="002A688B">
      <w:pPr>
        <w:pStyle w:val="CommentText"/>
      </w:pPr>
      <w:r>
        <w:rPr>
          <w:rStyle w:val="CommentReference"/>
        </w:rPr>
        <w:annotationRef/>
      </w:r>
      <w:r>
        <w:t>Page number</w:t>
      </w:r>
    </w:p>
  </w:comment>
  <w:comment w:id="2" w:author="Mary" w:date="2012-02-25T17:16:00Z" w:initials="M">
    <w:p w:rsidR="002A688B" w:rsidRDefault="002A688B">
      <w:pPr>
        <w:pStyle w:val="CommentText"/>
      </w:pPr>
      <w:r>
        <w:rPr>
          <w:rStyle w:val="CommentReference"/>
        </w:rPr>
        <w:annotationRef/>
      </w:r>
      <w:r>
        <w:t xml:space="preserve">Page number fir </w:t>
      </w:r>
      <w:proofErr w:type="spellStart"/>
      <w:r>
        <w:t>durect</w:t>
      </w:r>
      <w:proofErr w:type="spellEnd"/>
      <w:r>
        <w:t xml:space="preserve"> quote</w:t>
      </w:r>
    </w:p>
  </w:comment>
  <w:comment w:id="3" w:author="Mary" w:date="2012-02-25T17:19:00Z" w:initials="M">
    <w:p w:rsidR="002A688B" w:rsidRDefault="002A688B">
      <w:pPr>
        <w:pStyle w:val="CommentText"/>
      </w:pPr>
      <w:r>
        <w:rPr>
          <w:rStyle w:val="CommentReference"/>
        </w:rPr>
        <w:annotationRef/>
      </w:r>
      <w:r>
        <w:t>Leave the word publisher off</w:t>
      </w:r>
    </w:p>
  </w:comment>
  <w:comment w:id="4" w:author="Mary" w:date="2012-02-25T17:20:00Z" w:initials="M">
    <w:p w:rsidR="002A688B" w:rsidRDefault="002A688B">
      <w:pPr>
        <w:pStyle w:val="CommentText"/>
      </w:pPr>
      <w:r>
        <w:rPr>
          <w:rStyle w:val="CommentReference"/>
        </w:rPr>
        <w:annotationRef/>
      </w:r>
      <w:r>
        <w:t>No longer use retrieval dates</w:t>
      </w:r>
    </w:p>
  </w:comment>
  <w:comment w:id="5" w:author="Mary" w:date="2012-02-25T17:21:00Z" w:initials="M">
    <w:p w:rsidR="002A688B" w:rsidRDefault="002A688B">
      <w:pPr>
        <w:pStyle w:val="CommentText"/>
      </w:pPr>
      <w:r>
        <w:rPr>
          <w:rStyle w:val="CommentReference"/>
        </w:rPr>
        <w:annotationRef/>
      </w:r>
      <w:r>
        <w:t>No retrieval dates</w:t>
      </w:r>
    </w:p>
  </w:comment>
  <w:comment w:id="6" w:author="Mary" w:date="2012-02-25T17:21:00Z" w:initials="M">
    <w:p w:rsidR="002A688B" w:rsidRDefault="002A688B">
      <w:pPr>
        <w:pStyle w:val="CommentText"/>
      </w:pPr>
      <w:r>
        <w:rPr>
          <w:rStyle w:val="CommentReference"/>
        </w:rPr>
        <w:annotationRef/>
      </w:r>
      <w:r>
        <w:t xml:space="preserve">No longer use </w:t>
      </w:r>
      <w:proofErr w:type="spellStart"/>
      <w:r>
        <w:t>retirieval</w:t>
      </w:r>
      <w:proofErr w:type="spellEnd"/>
      <w:r>
        <w:t xml:space="preserve"> dates</w:t>
      </w:r>
    </w:p>
  </w:comment>
  <w:comment w:id="7" w:author="Mary" w:date="2012-02-25T17:22:00Z" w:initials="M">
    <w:p w:rsidR="002A688B" w:rsidRDefault="002A688B">
      <w:pPr>
        <w:pStyle w:val="CommentText"/>
      </w:pPr>
      <w:r>
        <w:rPr>
          <w:rStyle w:val="CommentReference"/>
        </w:rPr>
        <w:annotationRef/>
      </w:r>
      <w:r>
        <w:t>No longer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882" w:rsidRDefault="006F1882" w:rsidP="001D186C">
      <w:pPr>
        <w:spacing w:after="0" w:line="240" w:lineRule="auto"/>
      </w:pPr>
      <w:r>
        <w:separator/>
      </w:r>
    </w:p>
  </w:endnote>
  <w:endnote w:type="continuationSeparator" w:id="0">
    <w:p w:rsidR="006F1882" w:rsidRDefault="006F1882" w:rsidP="001D1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882" w:rsidRDefault="006F1882" w:rsidP="001D186C">
      <w:pPr>
        <w:spacing w:after="0" w:line="240" w:lineRule="auto"/>
      </w:pPr>
      <w:r>
        <w:separator/>
      </w:r>
    </w:p>
  </w:footnote>
  <w:footnote w:type="continuationSeparator" w:id="0">
    <w:p w:rsidR="006F1882" w:rsidRDefault="006F1882" w:rsidP="001D1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FF" w:rsidRDefault="00AC65FF">
    <w:pPr>
      <w:pStyle w:val="Header"/>
      <w:jc w:val="right"/>
    </w:pPr>
    <w:r>
      <w:t>CASE STUDY 5.2</w:t>
    </w:r>
    <w:r>
      <w:tab/>
    </w:r>
    <w:r>
      <w:tab/>
    </w:r>
    <w:sdt>
      <w:sdtPr>
        <w:id w:val="72312458"/>
        <w:docPartObj>
          <w:docPartGallery w:val="Page Numbers (Top of Page)"/>
          <w:docPartUnique/>
        </w:docPartObj>
      </w:sdtPr>
      <w:sdtContent>
        <w:fldSimple w:instr=" PAGE   \* MERGEFORMAT ">
          <w:r w:rsidR="002A688B">
            <w:rPr>
              <w:noProof/>
            </w:rPr>
            <w:t>2</w:t>
          </w:r>
        </w:fldSimple>
      </w:sdtContent>
    </w:sdt>
  </w:p>
  <w:p w:rsidR="00AC65FF" w:rsidRDefault="00AC65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FF" w:rsidRDefault="00AC65FF" w:rsidP="001D186C">
    <w:pPr>
      <w:pStyle w:val="Header"/>
      <w:jc w:val="center"/>
    </w:pPr>
    <w:r>
      <w:t>Running head: CASE STUDY 5.2</w:t>
    </w:r>
    <w:r>
      <w:tab/>
    </w:r>
    <w:r>
      <w:tab/>
      <w:t xml:space="preserve"> </w:t>
    </w:r>
    <w:sdt>
      <w:sdtPr>
        <w:id w:val="72312423"/>
        <w:docPartObj>
          <w:docPartGallery w:val="Page Numbers (Top of Page)"/>
          <w:docPartUnique/>
        </w:docPartObj>
      </w:sdtPr>
      <w:sdtContent>
        <w:fldSimple w:instr=" PAGE   \* MERGEFORMAT ">
          <w:r w:rsidR="002A688B">
            <w:rPr>
              <w:noProof/>
            </w:rPr>
            <w:t>1</w:t>
          </w:r>
        </w:fldSimple>
      </w:sdtContent>
    </w:sdt>
  </w:p>
  <w:p w:rsidR="00AC65FF" w:rsidRDefault="00AC65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186C"/>
    <w:rsid w:val="000315D5"/>
    <w:rsid w:val="000F453E"/>
    <w:rsid w:val="001253CE"/>
    <w:rsid w:val="00190B72"/>
    <w:rsid w:val="001A260F"/>
    <w:rsid w:val="001D186C"/>
    <w:rsid w:val="00295FE4"/>
    <w:rsid w:val="002A688B"/>
    <w:rsid w:val="0030294A"/>
    <w:rsid w:val="00362840"/>
    <w:rsid w:val="003E2258"/>
    <w:rsid w:val="00405CE0"/>
    <w:rsid w:val="00453C98"/>
    <w:rsid w:val="00516D78"/>
    <w:rsid w:val="006F1882"/>
    <w:rsid w:val="006F2B3C"/>
    <w:rsid w:val="0079605F"/>
    <w:rsid w:val="007963A6"/>
    <w:rsid w:val="00876D98"/>
    <w:rsid w:val="009816D4"/>
    <w:rsid w:val="00A7556F"/>
    <w:rsid w:val="00A97D43"/>
    <w:rsid w:val="00AB1729"/>
    <w:rsid w:val="00AC65FF"/>
    <w:rsid w:val="00BE7DB3"/>
    <w:rsid w:val="00CF4583"/>
    <w:rsid w:val="00DA3AF8"/>
    <w:rsid w:val="00E662E5"/>
    <w:rsid w:val="00FA5DEF"/>
    <w:rsid w:val="00FF3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6C"/>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86C"/>
    <w:rPr>
      <w:rFonts w:ascii="Times New Roman" w:hAnsi="Times New Roman" w:cs="Times New Roman"/>
      <w:sz w:val="24"/>
      <w:szCs w:val="24"/>
    </w:rPr>
  </w:style>
  <w:style w:type="paragraph" w:styleId="Footer">
    <w:name w:val="footer"/>
    <w:basedOn w:val="Normal"/>
    <w:link w:val="FooterChar"/>
    <w:uiPriority w:val="99"/>
    <w:semiHidden/>
    <w:unhideWhenUsed/>
    <w:rsid w:val="001D18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86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1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86C"/>
    <w:rPr>
      <w:rFonts w:ascii="Tahoma" w:hAnsi="Tahoma" w:cs="Tahoma"/>
      <w:sz w:val="16"/>
      <w:szCs w:val="16"/>
    </w:rPr>
  </w:style>
  <w:style w:type="character" w:styleId="Emphasis">
    <w:name w:val="Emphasis"/>
    <w:basedOn w:val="DefaultParagraphFont"/>
    <w:uiPriority w:val="20"/>
    <w:qFormat/>
    <w:rsid w:val="000315D5"/>
    <w:rPr>
      <w:i/>
      <w:iCs/>
    </w:rPr>
  </w:style>
  <w:style w:type="character" w:styleId="Hyperlink">
    <w:name w:val="Hyperlink"/>
    <w:basedOn w:val="DefaultParagraphFont"/>
    <w:uiPriority w:val="99"/>
    <w:unhideWhenUsed/>
    <w:rsid w:val="000315D5"/>
    <w:rPr>
      <w:color w:val="0000FF" w:themeColor="hyperlink"/>
      <w:u w:val="single"/>
    </w:rPr>
  </w:style>
  <w:style w:type="character" w:styleId="CommentReference">
    <w:name w:val="annotation reference"/>
    <w:basedOn w:val="DefaultParagraphFont"/>
    <w:uiPriority w:val="99"/>
    <w:semiHidden/>
    <w:unhideWhenUsed/>
    <w:rsid w:val="002A688B"/>
    <w:rPr>
      <w:sz w:val="16"/>
      <w:szCs w:val="16"/>
    </w:rPr>
  </w:style>
  <w:style w:type="paragraph" w:styleId="CommentText">
    <w:name w:val="annotation text"/>
    <w:basedOn w:val="Normal"/>
    <w:link w:val="CommentTextChar"/>
    <w:uiPriority w:val="99"/>
    <w:semiHidden/>
    <w:unhideWhenUsed/>
    <w:rsid w:val="002A688B"/>
    <w:pPr>
      <w:spacing w:line="240" w:lineRule="auto"/>
    </w:pPr>
    <w:rPr>
      <w:sz w:val="20"/>
      <w:szCs w:val="20"/>
    </w:rPr>
  </w:style>
  <w:style w:type="character" w:customStyle="1" w:styleId="CommentTextChar">
    <w:name w:val="Comment Text Char"/>
    <w:basedOn w:val="DefaultParagraphFont"/>
    <w:link w:val="CommentText"/>
    <w:uiPriority w:val="99"/>
    <w:semiHidden/>
    <w:rsid w:val="002A68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88B"/>
    <w:rPr>
      <w:b/>
      <w:bCs/>
    </w:rPr>
  </w:style>
  <w:style w:type="character" w:customStyle="1" w:styleId="CommentSubjectChar">
    <w:name w:val="Comment Subject Char"/>
    <w:basedOn w:val="CommentTextChar"/>
    <w:link w:val="CommentSubject"/>
    <w:uiPriority w:val="99"/>
    <w:semiHidden/>
    <w:rsid w:val="002A68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frailty_and_its_implications_for_care_new/want_to_know_mo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indarticles.com/p/articles/mi_m0FDN/is_3_12/ai_n27421818/?tag=content;col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onsultgerirn.org/topics/frailty_and_its_implications_for_care_new/want_to_know_more" TargetMode="External"/><Relationship Id="rId4" Type="http://schemas.openxmlformats.org/officeDocument/2006/relationships/webSettings" Target="webSettings.xml"/><Relationship Id="rId9" Type="http://schemas.openxmlformats.org/officeDocument/2006/relationships/hyperlink" Target="http://www.imsersomayores.csic.es/documentos/boletin/2007/numero-52/art-07-07-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74590-2885-446B-912B-40969DA3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1009</Words>
  <Characters>5752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2012-02-25T23:24:00Z</dcterms:created>
  <dcterms:modified xsi:type="dcterms:W3CDTF">2012-02-25T23:24:00Z</dcterms:modified>
</cp:coreProperties>
</file>