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9C2" w:rsidRDefault="000349C2"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roofErr w:type="spellStart"/>
      <w:r>
        <w:t>Daimecia</w:t>
      </w:r>
      <w:proofErr w:type="spellEnd"/>
      <w:r>
        <w:t xml:space="preserve"> Jones</w:t>
      </w:r>
    </w:p>
    <w:p w:rsidR="00213529" w:rsidRDefault="00052DDF" w:rsidP="00213529">
      <w:pPr>
        <w:jc w:val="center"/>
      </w:pPr>
      <w:r>
        <w:t>Case Study 9.2</w:t>
      </w:r>
      <w:r w:rsidR="00034C79">
        <w:t xml:space="preserve"> &amp; 9.3</w:t>
      </w:r>
    </w:p>
    <w:p w:rsidR="00213529" w:rsidRDefault="00213529" w:rsidP="00213529">
      <w:pPr>
        <w:jc w:val="center"/>
      </w:pPr>
      <w:r>
        <w:t>Lakeview College of Nursing</w:t>
      </w:r>
    </w:p>
    <w:p w:rsidR="00213529" w:rsidRDefault="00EF4F4F" w:rsidP="00213529">
      <w:pPr>
        <w:jc w:val="center"/>
      </w:pPr>
      <w:proofErr w:type="spellStart"/>
      <w:r w:rsidRPr="00EF4F4F">
        <w:rPr>
          <w:color w:val="FF0000"/>
        </w:rPr>
        <w:t>Daimecia</w:t>
      </w:r>
      <w:proofErr w:type="spellEnd"/>
      <w:r w:rsidRPr="00EF4F4F">
        <w:rPr>
          <w:color w:val="FF0000"/>
        </w:rPr>
        <w:t>…You have to use evidenced based references for all answers. The case studies all have references that you can use for all the answers</w:t>
      </w:r>
      <w:r>
        <w:t>.</w:t>
      </w:r>
    </w:p>
    <w:p w:rsidR="00213529" w:rsidRPr="0097347B" w:rsidRDefault="00EF4F4F" w:rsidP="00213529">
      <w:pPr>
        <w:jc w:val="center"/>
        <w:rPr>
          <w:color w:val="FF0000"/>
        </w:rPr>
      </w:pPr>
      <w:r w:rsidRPr="0097347B">
        <w:rPr>
          <w:color w:val="FF0000"/>
        </w:rPr>
        <w:t>20/25</w:t>
      </w: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052DDF" w:rsidRDefault="00052DDF" w:rsidP="00052DDF">
      <w:pPr>
        <w:jc w:val="center"/>
      </w:pPr>
      <w:r>
        <w:t>Hip Fracture</w:t>
      </w:r>
    </w:p>
    <w:p w:rsidR="00052DDF" w:rsidRPr="00EF4F4F" w:rsidRDefault="00052DDF" w:rsidP="00034C79">
      <w:pPr>
        <w:pStyle w:val="ListParagraph"/>
        <w:numPr>
          <w:ilvl w:val="0"/>
          <w:numId w:val="5"/>
        </w:numPr>
        <w:spacing w:line="480" w:lineRule="auto"/>
        <w:rPr>
          <w:color w:val="FF0000"/>
        </w:rPr>
      </w:pPr>
      <w:r>
        <w:t xml:space="preserve">At this point, Pearl should receive </w:t>
      </w:r>
      <w:r w:rsidR="00E64504">
        <w:t>KCL in her IV fluids,</w:t>
      </w:r>
      <w:r w:rsidR="00A27296">
        <w:t xml:space="preserve"> and regular insulin subcutaneous injections.</w:t>
      </w:r>
      <w:r w:rsidR="004A7D06">
        <w:t xml:space="preserve">  </w:t>
      </w:r>
      <w:r w:rsidR="00EF4F4F" w:rsidRPr="00EF4F4F">
        <w:rPr>
          <w:color w:val="FF0000"/>
        </w:rPr>
        <w:t>(Did you look up hip fracture?)</w:t>
      </w:r>
    </w:p>
    <w:p w:rsidR="00BE6A4C" w:rsidRPr="00BE6A4C" w:rsidRDefault="00BE6A4C" w:rsidP="00BE6A4C">
      <w:pPr>
        <w:autoSpaceDE w:val="0"/>
        <w:autoSpaceDN w:val="0"/>
        <w:adjustRightInd w:val="0"/>
        <w:spacing w:after="0" w:line="240" w:lineRule="auto"/>
        <w:rPr>
          <w:rFonts w:ascii="ITCGaramondStd-Bk" w:hAnsi="ITCGaramondStd-Bk" w:cs="ITCGaramondStd-Bk"/>
          <w:color w:val="FF0000"/>
          <w:sz w:val="20"/>
          <w:szCs w:val="20"/>
        </w:rPr>
      </w:pPr>
      <w:r w:rsidRPr="00BE6A4C">
        <w:rPr>
          <w:color w:val="FF0000"/>
        </w:rPr>
        <w:t xml:space="preserve">  </w:t>
      </w:r>
      <w:r w:rsidRPr="00BE6A4C">
        <w:rPr>
          <w:rFonts w:ascii="ITCGaramondStd-Bk" w:hAnsi="ITCGaramondStd-Bk" w:cs="ITCGaramondStd-Bk"/>
          <w:color w:val="FF0000"/>
          <w:sz w:val="20"/>
          <w:szCs w:val="20"/>
        </w:rPr>
        <w:t xml:space="preserve">(A) KCL in her IV fluids is appropriate for the low serum value, (B) </w:t>
      </w:r>
      <w:proofErr w:type="spellStart"/>
      <w:r w:rsidRPr="00BE6A4C">
        <w:rPr>
          <w:rFonts w:ascii="ITCGaramondStd-Bk" w:hAnsi="ITCGaramondStd-Bk" w:cs="ITCGaramondStd-Bk"/>
          <w:color w:val="FF0000"/>
          <w:sz w:val="20"/>
          <w:szCs w:val="20"/>
        </w:rPr>
        <w:t>Cefazolin</w:t>
      </w:r>
      <w:proofErr w:type="spellEnd"/>
      <w:r w:rsidRPr="00BE6A4C">
        <w:rPr>
          <w:rFonts w:ascii="ITCGaramondStd-Bk" w:hAnsi="ITCGaramondStd-Bk" w:cs="ITCGaramondStd-Bk"/>
          <w:color w:val="FF0000"/>
          <w:sz w:val="20"/>
          <w:szCs w:val="20"/>
        </w:rPr>
        <w:t xml:space="preserve"> (</w:t>
      </w:r>
      <w:proofErr w:type="spellStart"/>
      <w:r w:rsidRPr="00BE6A4C">
        <w:rPr>
          <w:rFonts w:ascii="ITCGaramondStd-Bk" w:hAnsi="ITCGaramondStd-Bk" w:cs="ITCGaramondStd-Bk"/>
          <w:color w:val="FF0000"/>
          <w:sz w:val="20"/>
          <w:szCs w:val="20"/>
        </w:rPr>
        <w:t>Kefzol</w:t>
      </w:r>
      <w:proofErr w:type="spellEnd"/>
      <w:r w:rsidRPr="00BE6A4C">
        <w:rPr>
          <w:rFonts w:ascii="ITCGaramondStd-Bk" w:hAnsi="ITCGaramondStd-Bk" w:cs="ITCGaramondStd-Bk"/>
          <w:color w:val="FF0000"/>
          <w:sz w:val="20"/>
          <w:szCs w:val="20"/>
        </w:rPr>
        <w:t xml:space="preserve">) IV is </w:t>
      </w:r>
      <w:proofErr w:type="gramStart"/>
      <w:r w:rsidRPr="00BE6A4C">
        <w:rPr>
          <w:rFonts w:ascii="ITCGaramondStd-Bk" w:hAnsi="ITCGaramondStd-Bk" w:cs="ITCGaramondStd-Bk"/>
          <w:color w:val="FF0000"/>
          <w:sz w:val="20"/>
          <w:szCs w:val="20"/>
        </w:rPr>
        <w:t>regularly  administered</w:t>
      </w:r>
      <w:proofErr w:type="gramEnd"/>
      <w:r w:rsidRPr="00BE6A4C">
        <w:rPr>
          <w:rFonts w:ascii="ITCGaramondStd-Bk" w:hAnsi="ITCGaramondStd-Bk" w:cs="ITCGaramondStd-Bk"/>
          <w:color w:val="FF0000"/>
          <w:sz w:val="20"/>
          <w:szCs w:val="20"/>
        </w:rPr>
        <w:t xml:space="preserve"> </w:t>
      </w:r>
      <w:proofErr w:type="spellStart"/>
      <w:r w:rsidRPr="00BE6A4C">
        <w:rPr>
          <w:rFonts w:ascii="ITCGaramondStd-Bk" w:hAnsi="ITCGaramondStd-Bk" w:cs="ITCGaramondStd-Bk"/>
          <w:color w:val="FF0000"/>
          <w:sz w:val="20"/>
          <w:szCs w:val="20"/>
        </w:rPr>
        <w:t>prophylactically</w:t>
      </w:r>
      <w:proofErr w:type="spellEnd"/>
      <w:r w:rsidRPr="00BE6A4C">
        <w:rPr>
          <w:rFonts w:ascii="ITCGaramondStd-Bk" w:hAnsi="ITCGaramondStd-Bk" w:cs="ITCGaramondStd-Bk"/>
          <w:color w:val="FF0000"/>
          <w:sz w:val="20"/>
          <w:szCs w:val="20"/>
        </w:rPr>
        <w:t xml:space="preserve"> with fractured hip requiring surgical repair, (C) Morphine Sulfate IV is necessary for severe pain, and (D) Regular insulin subcutaneous would lower the increased serum glucose. Coumadin (</w:t>
      </w:r>
      <w:proofErr w:type="spellStart"/>
      <w:r w:rsidRPr="00BE6A4C">
        <w:rPr>
          <w:rFonts w:ascii="ITCGaramondStd-Bk" w:hAnsi="ITCGaramondStd-Bk" w:cs="ITCGaramondStd-Bk"/>
          <w:color w:val="FF0000"/>
          <w:sz w:val="20"/>
          <w:szCs w:val="20"/>
        </w:rPr>
        <w:t>warfarin</w:t>
      </w:r>
      <w:proofErr w:type="spellEnd"/>
      <w:r w:rsidRPr="00BE6A4C">
        <w:rPr>
          <w:rFonts w:ascii="ITCGaramondStd-Bk" w:hAnsi="ITCGaramondStd-Bk" w:cs="ITCGaramondStd-Bk"/>
          <w:color w:val="FF0000"/>
          <w:sz w:val="20"/>
          <w:szCs w:val="20"/>
        </w:rPr>
        <w:t>)</w:t>
      </w:r>
    </w:p>
    <w:p w:rsidR="00BE6A4C" w:rsidRPr="00BE6A4C" w:rsidRDefault="00BE6A4C" w:rsidP="00BE6A4C">
      <w:pPr>
        <w:autoSpaceDE w:val="0"/>
        <w:autoSpaceDN w:val="0"/>
        <w:adjustRightInd w:val="0"/>
        <w:spacing w:after="0" w:line="240" w:lineRule="auto"/>
        <w:rPr>
          <w:rFonts w:ascii="ITCGaramondStd-Bk" w:hAnsi="ITCGaramondStd-Bk" w:cs="ITCGaramondStd-Bk"/>
          <w:color w:val="FF0000"/>
          <w:sz w:val="20"/>
          <w:szCs w:val="20"/>
        </w:rPr>
      </w:pPr>
      <w:proofErr w:type="gramStart"/>
      <w:r w:rsidRPr="00BE6A4C">
        <w:rPr>
          <w:rFonts w:ascii="ITCGaramondStd-Bk" w:hAnsi="ITCGaramondStd-Bk" w:cs="ITCGaramondStd-Bk"/>
          <w:color w:val="FF0000"/>
          <w:sz w:val="20"/>
          <w:szCs w:val="20"/>
        </w:rPr>
        <w:t>would</w:t>
      </w:r>
      <w:proofErr w:type="gramEnd"/>
      <w:r w:rsidRPr="00BE6A4C">
        <w:rPr>
          <w:rFonts w:ascii="ITCGaramondStd-Bk" w:hAnsi="ITCGaramondStd-Bk" w:cs="ITCGaramondStd-Bk"/>
          <w:color w:val="FF0000"/>
          <w:sz w:val="20"/>
          <w:szCs w:val="20"/>
        </w:rPr>
        <w:t xml:space="preserve"> not be wise due to the decreased red blood count, hemoglobin, and </w:t>
      </w:r>
      <w:proofErr w:type="spellStart"/>
      <w:r w:rsidRPr="00BE6A4C">
        <w:rPr>
          <w:rFonts w:ascii="ITCGaramondStd-Bk" w:hAnsi="ITCGaramondStd-Bk" w:cs="ITCGaramondStd-Bk"/>
          <w:color w:val="FF0000"/>
          <w:sz w:val="20"/>
          <w:szCs w:val="20"/>
        </w:rPr>
        <w:t>hematocrit</w:t>
      </w:r>
      <w:proofErr w:type="spellEnd"/>
      <w:r w:rsidRPr="00BE6A4C">
        <w:rPr>
          <w:rFonts w:ascii="ITCGaramondStd-Bk" w:hAnsi="ITCGaramondStd-Bk" w:cs="ITCGaramondStd-Bk"/>
          <w:color w:val="FF0000"/>
          <w:sz w:val="20"/>
          <w:szCs w:val="20"/>
        </w:rPr>
        <w:t>, indicating potential blood loss from the injury or continued bleeding.</w:t>
      </w:r>
    </w:p>
    <w:p w:rsidR="00BE6A4C" w:rsidRDefault="00BE6A4C" w:rsidP="00BE6A4C">
      <w:pPr>
        <w:autoSpaceDE w:val="0"/>
        <w:autoSpaceDN w:val="0"/>
        <w:adjustRightInd w:val="0"/>
        <w:spacing w:after="0" w:line="240" w:lineRule="auto"/>
      </w:pPr>
    </w:p>
    <w:p w:rsidR="00BE6A4C" w:rsidRPr="00BE6A4C" w:rsidRDefault="00A27296" w:rsidP="00BE6A4C">
      <w:pPr>
        <w:pStyle w:val="ListParagraph"/>
        <w:autoSpaceDE w:val="0"/>
        <w:autoSpaceDN w:val="0"/>
        <w:adjustRightInd w:val="0"/>
        <w:spacing w:after="0" w:line="240" w:lineRule="auto"/>
        <w:rPr>
          <w:color w:val="FF0000"/>
        </w:rPr>
      </w:pPr>
      <w:r>
        <w:t xml:space="preserve">According to </w:t>
      </w:r>
      <w:proofErr w:type="spellStart"/>
      <w:r>
        <w:t>Mauk</w:t>
      </w:r>
      <w:proofErr w:type="spellEnd"/>
      <w:r>
        <w:t xml:space="preserve"> (2010)</w:t>
      </w:r>
      <w:r w:rsidR="0035253B">
        <w:t xml:space="preserve">, fractures in the elderly occur often occur as a result minimal or moderate trauma. </w:t>
      </w:r>
    </w:p>
    <w:p w:rsidR="00BE6A4C" w:rsidRPr="00BE6A4C" w:rsidRDefault="00BE6A4C" w:rsidP="00BE6A4C">
      <w:pPr>
        <w:pStyle w:val="ListParagraph"/>
        <w:autoSpaceDE w:val="0"/>
        <w:autoSpaceDN w:val="0"/>
        <w:adjustRightInd w:val="0"/>
        <w:spacing w:after="0" w:line="240" w:lineRule="auto"/>
        <w:rPr>
          <w:color w:val="FF0000"/>
        </w:rPr>
      </w:pPr>
    </w:p>
    <w:p w:rsidR="00BE6A4C" w:rsidRPr="00BE6A4C" w:rsidRDefault="00BE6A4C" w:rsidP="00BE6A4C">
      <w:pPr>
        <w:autoSpaceDE w:val="0"/>
        <w:autoSpaceDN w:val="0"/>
        <w:adjustRightInd w:val="0"/>
        <w:spacing w:after="0" w:line="240" w:lineRule="auto"/>
        <w:rPr>
          <w:rFonts w:ascii="ITCGaramondStd-Bk" w:hAnsi="ITCGaramondStd-Bk" w:cs="ITCGaramondStd-Bk"/>
          <w:color w:val="FF0000"/>
          <w:sz w:val="20"/>
          <w:szCs w:val="20"/>
        </w:rPr>
      </w:pPr>
      <w:proofErr w:type="gramStart"/>
      <w:r>
        <w:t>3.</w:t>
      </w:r>
      <w:r w:rsidR="0035253B">
        <w:t>According</w:t>
      </w:r>
      <w:proofErr w:type="gramEnd"/>
      <w:r w:rsidR="0035253B">
        <w:t xml:space="preserve"> to </w:t>
      </w:r>
      <w:proofErr w:type="spellStart"/>
      <w:r w:rsidR="0035253B">
        <w:t>Mauk</w:t>
      </w:r>
      <w:proofErr w:type="spellEnd"/>
      <w:r w:rsidR="0035253B">
        <w:t xml:space="preserve"> (2010), elderly adults are more susceptible to falls due to postural instability, gait disturbances, decreased muscle strength, visual or cognitive impairment and decreased </w:t>
      </w:r>
      <w:proofErr w:type="spellStart"/>
      <w:r w:rsidR="0035253B">
        <w:t>proprioception</w:t>
      </w:r>
      <w:proofErr w:type="spellEnd"/>
      <w:r w:rsidR="0035253B">
        <w:t>.</w:t>
      </w:r>
      <w:r>
        <w:t xml:space="preserve">  </w:t>
      </w:r>
    </w:p>
    <w:p w:rsidR="00BE6A4C" w:rsidRPr="00BE6A4C" w:rsidRDefault="00BE6A4C" w:rsidP="00BE6A4C">
      <w:pPr>
        <w:pStyle w:val="ListParagraph"/>
        <w:autoSpaceDE w:val="0"/>
        <w:autoSpaceDN w:val="0"/>
        <w:adjustRightInd w:val="0"/>
        <w:spacing w:after="0" w:line="240" w:lineRule="auto"/>
        <w:rPr>
          <w:rFonts w:ascii="ITCGaramondStd-Bk" w:hAnsi="ITCGaramondStd-Bk" w:cs="ITCGaramondStd-Bk"/>
          <w:color w:val="FF0000"/>
          <w:sz w:val="20"/>
          <w:szCs w:val="20"/>
        </w:rPr>
      </w:pPr>
      <w:r w:rsidRPr="00BE6A4C">
        <w:rPr>
          <w:color w:val="FF0000"/>
        </w:rPr>
        <w:t xml:space="preserve">Also, </w:t>
      </w:r>
      <w:r w:rsidRPr="00BE6A4C">
        <w:rPr>
          <w:rFonts w:ascii="ITCGaramondStd-Bk" w:hAnsi="ITCGaramondStd-Bk" w:cs="ITCGaramondStd-Bk"/>
          <w:color w:val="FF0000"/>
          <w:sz w:val="20"/>
          <w:szCs w:val="20"/>
        </w:rPr>
        <w:t xml:space="preserve">women in particular, osteoporosis contributes to the ease of bone fracture along with </w:t>
      </w:r>
      <w:proofErr w:type="spellStart"/>
      <w:r w:rsidRPr="00BE6A4C">
        <w:rPr>
          <w:rFonts w:ascii="ITCGaramondStd-Bk" w:hAnsi="ITCGaramondStd-Bk" w:cs="ITCGaramondStd-Bk"/>
          <w:color w:val="FF0000"/>
          <w:sz w:val="20"/>
          <w:szCs w:val="20"/>
        </w:rPr>
        <w:t>comorbidities</w:t>
      </w:r>
      <w:proofErr w:type="spellEnd"/>
      <w:r w:rsidRPr="00BE6A4C">
        <w:rPr>
          <w:rFonts w:ascii="ITCGaramondStd-Bk" w:hAnsi="ITCGaramondStd-Bk" w:cs="ITCGaramondStd-Bk"/>
          <w:color w:val="FF0000"/>
          <w:sz w:val="20"/>
          <w:szCs w:val="20"/>
        </w:rPr>
        <w:t xml:space="preserve"> such as postural hypotension, dizziness/vertigo, and confusion.</w:t>
      </w:r>
    </w:p>
    <w:p w:rsidR="0035253B" w:rsidRDefault="0035253B" w:rsidP="00BE6A4C">
      <w:pPr>
        <w:spacing w:line="480" w:lineRule="auto"/>
        <w:ind w:left="450"/>
      </w:pPr>
    </w:p>
    <w:p w:rsidR="0035253B" w:rsidRDefault="0035253B" w:rsidP="0056502E">
      <w:pPr>
        <w:pStyle w:val="ListParagraph"/>
        <w:numPr>
          <w:ilvl w:val="0"/>
          <w:numId w:val="8"/>
        </w:numPr>
        <w:spacing w:line="480" w:lineRule="auto"/>
      </w:pPr>
      <w:r>
        <w:t xml:space="preserve">According to </w:t>
      </w:r>
      <w:proofErr w:type="spellStart"/>
      <w:r>
        <w:t>Mauk</w:t>
      </w:r>
      <w:proofErr w:type="spellEnd"/>
      <w:r>
        <w:t xml:space="preserve"> (2010), some factors that contribute to hip fractures are low bone density, osteoporosis, being a female and being Caucasian.</w:t>
      </w:r>
      <w:r w:rsidR="0056502E">
        <w:t xml:space="preserve">  </w:t>
      </w:r>
    </w:p>
    <w:p w:rsidR="0056502E" w:rsidRPr="0056502E" w:rsidRDefault="0056502E" w:rsidP="0056502E">
      <w:pPr>
        <w:autoSpaceDE w:val="0"/>
        <w:autoSpaceDN w:val="0"/>
        <w:adjustRightInd w:val="0"/>
        <w:spacing w:after="0" w:line="240" w:lineRule="auto"/>
        <w:rPr>
          <w:rFonts w:ascii="ITCGaramondStd-Bk" w:hAnsi="ITCGaramondStd-Bk" w:cs="ITCGaramondStd-Bk"/>
          <w:color w:val="FF0000"/>
          <w:sz w:val="20"/>
          <w:szCs w:val="20"/>
        </w:rPr>
      </w:pPr>
      <w:r>
        <w:t xml:space="preserve">  </w:t>
      </w:r>
      <w:r w:rsidRPr="0056502E">
        <w:rPr>
          <w:rFonts w:ascii="ITCGaramondStd-Bk" w:hAnsi="ITCGaramondStd-Bk" w:cs="ITCGaramondStd-Bk"/>
          <w:color w:val="FF0000"/>
          <w:sz w:val="20"/>
          <w:szCs w:val="20"/>
        </w:rPr>
        <w:t>According to Davenport, (2010) risk factors affecting the elderly would include the</w:t>
      </w:r>
    </w:p>
    <w:p w:rsidR="0056502E" w:rsidRPr="0056502E" w:rsidRDefault="0056502E" w:rsidP="0056502E">
      <w:pPr>
        <w:autoSpaceDE w:val="0"/>
        <w:autoSpaceDN w:val="0"/>
        <w:adjustRightInd w:val="0"/>
        <w:spacing w:after="0" w:line="240" w:lineRule="auto"/>
        <w:rPr>
          <w:rFonts w:ascii="ITCGaramondStd-Bk" w:hAnsi="ITCGaramondStd-Bk" w:cs="ITCGaramondStd-Bk"/>
          <w:color w:val="FF0000"/>
          <w:sz w:val="20"/>
          <w:szCs w:val="20"/>
        </w:rPr>
      </w:pPr>
      <w:proofErr w:type="gramStart"/>
      <w:r w:rsidRPr="0056502E">
        <w:rPr>
          <w:rFonts w:ascii="ITCGaramondStd-Bk" w:hAnsi="ITCGaramondStd-Bk" w:cs="ITCGaramondStd-Bk"/>
          <w:color w:val="FF0000"/>
          <w:sz w:val="20"/>
          <w:szCs w:val="20"/>
        </w:rPr>
        <w:t>following</w:t>
      </w:r>
      <w:proofErr w:type="gramEnd"/>
      <w:r w:rsidRPr="0056502E">
        <w:rPr>
          <w:rFonts w:ascii="ITCGaramondStd-Bk" w:hAnsi="ITCGaramondStd-Bk" w:cs="ITCGaramondStd-Bk"/>
          <w:color w:val="FF0000"/>
          <w:sz w:val="20"/>
          <w:szCs w:val="20"/>
        </w:rPr>
        <w:t>:</w:t>
      </w:r>
    </w:p>
    <w:p w:rsidR="0056502E" w:rsidRPr="0056502E" w:rsidRDefault="0056502E" w:rsidP="0056502E">
      <w:pPr>
        <w:autoSpaceDE w:val="0"/>
        <w:autoSpaceDN w:val="0"/>
        <w:adjustRightInd w:val="0"/>
        <w:spacing w:after="0" w:line="240" w:lineRule="auto"/>
        <w:rPr>
          <w:rFonts w:ascii="ITCGaramondStd-Bk" w:hAnsi="ITCGaramondStd-Bk" w:cs="ITCGaramondStd-Bk"/>
          <w:color w:val="FF0000"/>
          <w:sz w:val="20"/>
          <w:szCs w:val="20"/>
        </w:rPr>
      </w:pPr>
      <w:r w:rsidRPr="0056502E">
        <w:rPr>
          <w:rFonts w:ascii="ITCGaramondStd-Bk" w:hAnsi="ITCGaramondStd-Bk" w:cs="ITCGaramondStd-Bk"/>
          <w:color w:val="FF0000"/>
          <w:sz w:val="20"/>
          <w:szCs w:val="20"/>
        </w:rPr>
        <w:t>• Osteoporosis (leading cause of hip fracture)</w:t>
      </w:r>
    </w:p>
    <w:p w:rsidR="0056502E" w:rsidRPr="0056502E" w:rsidRDefault="0056502E" w:rsidP="0056502E">
      <w:pPr>
        <w:autoSpaceDE w:val="0"/>
        <w:autoSpaceDN w:val="0"/>
        <w:adjustRightInd w:val="0"/>
        <w:spacing w:after="0" w:line="240" w:lineRule="auto"/>
        <w:rPr>
          <w:rFonts w:ascii="ITCGaramondStd-Bk" w:hAnsi="ITCGaramondStd-Bk" w:cs="ITCGaramondStd-Bk"/>
          <w:color w:val="FF0000"/>
          <w:sz w:val="20"/>
          <w:szCs w:val="20"/>
        </w:rPr>
      </w:pPr>
      <w:r w:rsidRPr="0056502E">
        <w:rPr>
          <w:rFonts w:ascii="ITCGaramondStd-Bk" w:hAnsi="ITCGaramondStd-Bk" w:cs="ITCGaramondStd-Bk"/>
          <w:color w:val="FF0000"/>
          <w:sz w:val="20"/>
          <w:szCs w:val="20"/>
        </w:rPr>
        <w:t>• Neurological impairment</w:t>
      </w:r>
    </w:p>
    <w:p w:rsidR="0056502E" w:rsidRPr="0056502E" w:rsidRDefault="0056502E" w:rsidP="0056502E">
      <w:pPr>
        <w:autoSpaceDE w:val="0"/>
        <w:autoSpaceDN w:val="0"/>
        <w:adjustRightInd w:val="0"/>
        <w:spacing w:after="0" w:line="240" w:lineRule="auto"/>
        <w:rPr>
          <w:rFonts w:ascii="ITCGaramondStd-Bk" w:hAnsi="ITCGaramondStd-Bk" w:cs="ITCGaramondStd-Bk"/>
          <w:color w:val="FF0000"/>
          <w:sz w:val="20"/>
          <w:szCs w:val="20"/>
        </w:rPr>
      </w:pPr>
      <w:r w:rsidRPr="0056502E">
        <w:rPr>
          <w:rFonts w:ascii="ITCGaramondStd-Bk" w:hAnsi="ITCGaramondStd-Bk" w:cs="ITCGaramondStd-Bk"/>
          <w:color w:val="FF0000"/>
          <w:sz w:val="20"/>
          <w:szCs w:val="20"/>
        </w:rPr>
        <w:t>• Caucasian race</w:t>
      </w:r>
    </w:p>
    <w:p w:rsidR="0056502E" w:rsidRPr="0056502E" w:rsidRDefault="0056502E" w:rsidP="0056502E">
      <w:pPr>
        <w:autoSpaceDE w:val="0"/>
        <w:autoSpaceDN w:val="0"/>
        <w:adjustRightInd w:val="0"/>
        <w:spacing w:after="0" w:line="240" w:lineRule="auto"/>
        <w:rPr>
          <w:rFonts w:ascii="ITCGaramondStd-Bk" w:hAnsi="ITCGaramondStd-Bk" w:cs="ITCGaramondStd-Bk"/>
          <w:color w:val="FF0000"/>
          <w:sz w:val="20"/>
          <w:szCs w:val="20"/>
        </w:rPr>
      </w:pPr>
      <w:r w:rsidRPr="0056502E">
        <w:rPr>
          <w:rFonts w:ascii="ITCGaramondStd-Bk" w:hAnsi="ITCGaramondStd-Bk" w:cs="ITCGaramondStd-Bk"/>
          <w:color w:val="FF0000"/>
          <w:sz w:val="20"/>
          <w:szCs w:val="20"/>
        </w:rPr>
        <w:t>• Cigarette smoking</w:t>
      </w:r>
    </w:p>
    <w:p w:rsidR="0056502E" w:rsidRPr="0056502E" w:rsidRDefault="0056502E" w:rsidP="0056502E">
      <w:pPr>
        <w:autoSpaceDE w:val="0"/>
        <w:autoSpaceDN w:val="0"/>
        <w:adjustRightInd w:val="0"/>
        <w:spacing w:after="0" w:line="240" w:lineRule="auto"/>
        <w:rPr>
          <w:rFonts w:ascii="ITCGaramondStd-Bk" w:hAnsi="ITCGaramondStd-Bk" w:cs="ITCGaramondStd-Bk"/>
          <w:color w:val="FF0000"/>
          <w:sz w:val="20"/>
          <w:szCs w:val="20"/>
        </w:rPr>
      </w:pPr>
      <w:r w:rsidRPr="0056502E">
        <w:rPr>
          <w:rFonts w:ascii="ITCGaramondStd-Bk" w:hAnsi="ITCGaramondStd-Bk" w:cs="ITCGaramondStd-Bk"/>
          <w:color w:val="FF0000"/>
          <w:sz w:val="20"/>
          <w:szCs w:val="20"/>
        </w:rPr>
        <w:t>• Institutional living</w:t>
      </w:r>
    </w:p>
    <w:p w:rsidR="0056502E" w:rsidRPr="0056502E" w:rsidRDefault="0056502E" w:rsidP="0056502E">
      <w:pPr>
        <w:autoSpaceDE w:val="0"/>
        <w:autoSpaceDN w:val="0"/>
        <w:adjustRightInd w:val="0"/>
        <w:spacing w:after="0" w:line="240" w:lineRule="auto"/>
        <w:rPr>
          <w:rFonts w:ascii="ITCGaramondStd-Bk" w:hAnsi="ITCGaramondStd-Bk" w:cs="ITCGaramondStd-Bk"/>
          <w:color w:val="FF0000"/>
          <w:sz w:val="20"/>
          <w:szCs w:val="20"/>
        </w:rPr>
      </w:pPr>
      <w:r w:rsidRPr="0056502E">
        <w:rPr>
          <w:rFonts w:ascii="ITCGaramondStd-Bk" w:hAnsi="ITCGaramondStd-Bk" w:cs="ITCGaramondStd-Bk"/>
          <w:color w:val="FF0000"/>
          <w:sz w:val="20"/>
          <w:szCs w:val="20"/>
        </w:rPr>
        <w:t>• Maternal history of hip fracture</w:t>
      </w:r>
    </w:p>
    <w:p w:rsidR="0056502E" w:rsidRPr="0056502E" w:rsidRDefault="0056502E" w:rsidP="0056502E">
      <w:pPr>
        <w:autoSpaceDE w:val="0"/>
        <w:autoSpaceDN w:val="0"/>
        <w:adjustRightInd w:val="0"/>
        <w:spacing w:after="0" w:line="240" w:lineRule="auto"/>
        <w:rPr>
          <w:rFonts w:ascii="ITCGaramondStd-Bk" w:hAnsi="ITCGaramondStd-Bk" w:cs="ITCGaramondStd-Bk"/>
          <w:color w:val="FF0000"/>
          <w:sz w:val="20"/>
          <w:szCs w:val="20"/>
        </w:rPr>
      </w:pPr>
      <w:r w:rsidRPr="0056502E">
        <w:rPr>
          <w:rFonts w:ascii="ITCGaramondStd-Bk" w:hAnsi="ITCGaramondStd-Bk" w:cs="ITCGaramondStd-Bk"/>
          <w:color w:val="FF0000"/>
          <w:sz w:val="20"/>
          <w:szCs w:val="20"/>
        </w:rPr>
        <w:t>• Previous hip fracture</w:t>
      </w:r>
    </w:p>
    <w:p w:rsidR="0056502E" w:rsidRPr="0056502E" w:rsidRDefault="0056502E" w:rsidP="0056502E">
      <w:pPr>
        <w:autoSpaceDE w:val="0"/>
        <w:autoSpaceDN w:val="0"/>
        <w:adjustRightInd w:val="0"/>
        <w:spacing w:after="0" w:line="240" w:lineRule="auto"/>
        <w:rPr>
          <w:rFonts w:ascii="ITCGaramondStd-Bk" w:hAnsi="ITCGaramondStd-Bk" w:cs="ITCGaramondStd-Bk"/>
          <w:color w:val="FF0000"/>
          <w:sz w:val="20"/>
          <w:szCs w:val="20"/>
        </w:rPr>
      </w:pPr>
      <w:r w:rsidRPr="0056502E">
        <w:rPr>
          <w:rFonts w:ascii="ITCGaramondStd-Bk" w:hAnsi="ITCGaramondStd-Bk" w:cs="ITCGaramondStd-Bk"/>
          <w:color w:val="FF0000"/>
          <w:sz w:val="20"/>
          <w:szCs w:val="20"/>
        </w:rPr>
        <w:t>• Physical inactivity</w:t>
      </w:r>
    </w:p>
    <w:p w:rsidR="0056502E" w:rsidRPr="0056502E" w:rsidRDefault="0056502E" w:rsidP="0056502E">
      <w:pPr>
        <w:autoSpaceDE w:val="0"/>
        <w:autoSpaceDN w:val="0"/>
        <w:adjustRightInd w:val="0"/>
        <w:spacing w:after="0" w:line="240" w:lineRule="auto"/>
        <w:rPr>
          <w:rFonts w:ascii="ITCGaramondStd-Bk" w:hAnsi="ITCGaramondStd-Bk" w:cs="ITCGaramondStd-Bk"/>
          <w:color w:val="FF0000"/>
          <w:sz w:val="20"/>
          <w:szCs w:val="20"/>
        </w:rPr>
      </w:pPr>
      <w:r w:rsidRPr="0056502E">
        <w:rPr>
          <w:rFonts w:ascii="ITCGaramondStd-Bk" w:hAnsi="ITCGaramondStd-Bk" w:cs="ITCGaramondStd-Bk"/>
          <w:color w:val="FF0000"/>
          <w:sz w:val="20"/>
          <w:szCs w:val="20"/>
        </w:rPr>
        <w:t>• Tall stature</w:t>
      </w:r>
    </w:p>
    <w:p w:rsidR="0056502E" w:rsidRPr="0056502E" w:rsidRDefault="0056502E" w:rsidP="0056502E">
      <w:pPr>
        <w:autoSpaceDE w:val="0"/>
        <w:autoSpaceDN w:val="0"/>
        <w:adjustRightInd w:val="0"/>
        <w:spacing w:after="0" w:line="240" w:lineRule="auto"/>
        <w:rPr>
          <w:rFonts w:ascii="ITCGaramondStd-Bk" w:hAnsi="ITCGaramondStd-Bk" w:cs="ITCGaramondStd-Bk"/>
          <w:color w:val="FF0000"/>
          <w:sz w:val="20"/>
          <w:szCs w:val="20"/>
        </w:rPr>
      </w:pPr>
      <w:r w:rsidRPr="0056502E">
        <w:rPr>
          <w:rFonts w:ascii="ITCGaramondStd-Bk" w:hAnsi="ITCGaramondStd-Bk" w:cs="ITCGaramondStd-Bk"/>
          <w:color w:val="FF0000"/>
          <w:sz w:val="20"/>
          <w:szCs w:val="20"/>
        </w:rPr>
        <w:t>• Alcohol abuse</w:t>
      </w:r>
    </w:p>
    <w:p w:rsidR="0056502E" w:rsidRPr="0056502E" w:rsidRDefault="0056502E" w:rsidP="0056502E">
      <w:pPr>
        <w:autoSpaceDE w:val="0"/>
        <w:autoSpaceDN w:val="0"/>
        <w:adjustRightInd w:val="0"/>
        <w:spacing w:after="0" w:line="240" w:lineRule="auto"/>
        <w:rPr>
          <w:rFonts w:ascii="ITCGaramondStd-Bk" w:hAnsi="ITCGaramondStd-Bk" w:cs="ITCGaramondStd-Bk"/>
          <w:color w:val="FF0000"/>
          <w:sz w:val="20"/>
          <w:szCs w:val="20"/>
        </w:rPr>
      </w:pPr>
      <w:r w:rsidRPr="0056502E">
        <w:rPr>
          <w:rFonts w:ascii="ITCGaramondStd-Bk" w:hAnsi="ITCGaramondStd-Bk" w:cs="ITCGaramondStd-Bk"/>
          <w:color w:val="FF0000"/>
          <w:sz w:val="20"/>
          <w:szCs w:val="20"/>
        </w:rPr>
        <w:t xml:space="preserve">• Previous </w:t>
      </w:r>
      <w:proofErr w:type="spellStart"/>
      <w:r w:rsidRPr="0056502E">
        <w:rPr>
          <w:rFonts w:ascii="ITCGaramondStd-Bk" w:hAnsi="ITCGaramondStd-Bk" w:cs="ITCGaramondStd-Bk"/>
          <w:color w:val="FF0000"/>
          <w:sz w:val="20"/>
          <w:szCs w:val="20"/>
        </w:rPr>
        <w:t>Colles</w:t>
      </w:r>
      <w:proofErr w:type="spellEnd"/>
      <w:r w:rsidRPr="0056502E">
        <w:rPr>
          <w:rFonts w:ascii="ITCGaramondStd-Bk" w:hAnsi="ITCGaramondStd-Bk" w:cs="ITCGaramondStd-Bk"/>
          <w:color w:val="FF0000"/>
          <w:sz w:val="20"/>
          <w:szCs w:val="20"/>
        </w:rPr>
        <w:t xml:space="preserve"> or vertebral fracture attributed to osteoporosis</w:t>
      </w:r>
    </w:p>
    <w:p w:rsidR="0056502E" w:rsidRPr="0056502E" w:rsidRDefault="0056502E" w:rsidP="0056502E">
      <w:pPr>
        <w:autoSpaceDE w:val="0"/>
        <w:autoSpaceDN w:val="0"/>
        <w:adjustRightInd w:val="0"/>
        <w:spacing w:after="0" w:line="240" w:lineRule="auto"/>
        <w:rPr>
          <w:rFonts w:ascii="ITCGaramondStd-Bk" w:hAnsi="ITCGaramondStd-Bk" w:cs="ITCGaramondStd-Bk"/>
          <w:color w:val="FF0000"/>
          <w:sz w:val="20"/>
          <w:szCs w:val="20"/>
        </w:rPr>
      </w:pPr>
      <w:r w:rsidRPr="0056502E">
        <w:rPr>
          <w:rFonts w:ascii="ITCGaramondStd-Bk" w:hAnsi="ITCGaramondStd-Bk" w:cs="ITCGaramondStd-Bk"/>
          <w:color w:val="FF0000"/>
          <w:sz w:val="20"/>
          <w:szCs w:val="20"/>
        </w:rPr>
        <w:t>• Low body weight</w:t>
      </w:r>
    </w:p>
    <w:p w:rsidR="0056502E" w:rsidRPr="0056502E" w:rsidRDefault="0056502E" w:rsidP="0056502E">
      <w:pPr>
        <w:autoSpaceDE w:val="0"/>
        <w:autoSpaceDN w:val="0"/>
        <w:adjustRightInd w:val="0"/>
        <w:spacing w:after="0" w:line="240" w:lineRule="auto"/>
        <w:rPr>
          <w:rFonts w:ascii="ITCGaramondStd-Bk" w:hAnsi="ITCGaramondStd-Bk" w:cs="ITCGaramondStd-Bk"/>
          <w:color w:val="FF0000"/>
          <w:sz w:val="20"/>
          <w:szCs w:val="20"/>
        </w:rPr>
      </w:pPr>
      <w:r w:rsidRPr="0056502E">
        <w:rPr>
          <w:rFonts w:ascii="ITCGaramondStd-Bk" w:hAnsi="ITCGaramondStd-Bk" w:cs="ITCGaramondStd-Bk"/>
          <w:color w:val="FF0000"/>
          <w:sz w:val="20"/>
          <w:szCs w:val="20"/>
        </w:rPr>
        <w:t>• Impaired vision</w:t>
      </w:r>
    </w:p>
    <w:p w:rsidR="0056502E" w:rsidRPr="0056502E" w:rsidRDefault="0056502E" w:rsidP="0056502E">
      <w:pPr>
        <w:autoSpaceDE w:val="0"/>
        <w:autoSpaceDN w:val="0"/>
        <w:adjustRightInd w:val="0"/>
        <w:spacing w:after="0" w:line="240" w:lineRule="auto"/>
        <w:rPr>
          <w:rFonts w:ascii="ITCGaramondStd-Bk" w:hAnsi="ITCGaramondStd-Bk" w:cs="ITCGaramondStd-Bk"/>
          <w:color w:val="FF0000"/>
          <w:sz w:val="20"/>
          <w:szCs w:val="20"/>
        </w:rPr>
      </w:pPr>
      <w:r w:rsidRPr="0056502E">
        <w:rPr>
          <w:rFonts w:ascii="ITCGaramondStd-Bk" w:hAnsi="ITCGaramondStd-Bk" w:cs="ITCGaramondStd-Bk"/>
          <w:color w:val="FF0000"/>
          <w:sz w:val="20"/>
          <w:szCs w:val="20"/>
        </w:rPr>
        <w:t>• Prolonged corticosteroid use</w:t>
      </w:r>
    </w:p>
    <w:p w:rsidR="0056502E" w:rsidRPr="0056502E" w:rsidRDefault="0056502E" w:rsidP="0056502E">
      <w:pPr>
        <w:autoSpaceDE w:val="0"/>
        <w:autoSpaceDN w:val="0"/>
        <w:adjustRightInd w:val="0"/>
        <w:spacing w:after="0" w:line="240" w:lineRule="auto"/>
        <w:rPr>
          <w:rFonts w:ascii="ITCGaramondStd-Bk" w:hAnsi="ITCGaramondStd-Bk" w:cs="ITCGaramondStd-Bk"/>
          <w:color w:val="FF0000"/>
          <w:sz w:val="20"/>
          <w:szCs w:val="20"/>
        </w:rPr>
      </w:pPr>
      <w:r w:rsidRPr="0056502E">
        <w:rPr>
          <w:rFonts w:ascii="ITCGaramondStd-Bk" w:hAnsi="ITCGaramondStd-Bk" w:cs="ITCGaramondStd-Bk"/>
          <w:color w:val="FF0000"/>
          <w:sz w:val="20"/>
          <w:szCs w:val="20"/>
        </w:rPr>
        <w:t xml:space="preserve">• Use of medications that decrease bone mass, including </w:t>
      </w:r>
      <w:proofErr w:type="spellStart"/>
      <w:r w:rsidRPr="0056502E">
        <w:rPr>
          <w:rFonts w:ascii="ITCGaramondStd-Bk" w:hAnsi="ITCGaramondStd-Bk" w:cs="ITCGaramondStd-Bk"/>
          <w:color w:val="FF0000"/>
          <w:sz w:val="20"/>
          <w:szCs w:val="20"/>
        </w:rPr>
        <w:t>furosemide</w:t>
      </w:r>
      <w:proofErr w:type="spellEnd"/>
      <w:r w:rsidRPr="0056502E">
        <w:rPr>
          <w:rFonts w:ascii="ITCGaramondStd-Bk" w:hAnsi="ITCGaramondStd-Bk" w:cs="ITCGaramondStd-Bk"/>
          <w:color w:val="FF0000"/>
          <w:sz w:val="20"/>
          <w:szCs w:val="20"/>
        </w:rPr>
        <w:t>, thyroid hormone,</w:t>
      </w:r>
    </w:p>
    <w:p w:rsidR="0056502E" w:rsidRDefault="0056502E" w:rsidP="0056502E">
      <w:pPr>
        <w:spacing w:line="480" w:lineRule="auto"/>
      </w:pPr>
      <w:proofErr w:type="spellStart"/>
      <w:proofErr w:type="gramStart"/>
      <w:r w:rsidRPr="0056502E">
        <w:rPr>
          <w:rFonts w:ascii="ITCGaramondStd-Bk" w:hAnsi="ITCGaramondStd-Bk" w:cs="ITCGaramondStd-Bk"/>
          <w:color w:val="FF0000"/>
          <w:sz w:val="20"/>
          <w:szCs w:val="20"/>
        </w:rPr>
        <w:t>phenobarbital</w:t>
      </w:r>
      <w:proofErr w:type="spellEnd"/>
      <w:proofErr w:type="gramEnd"/>
      <w:r w:rsidRPr="0056502E">
        <w:rPr>
          <w:rFonts w:ascii="ITCGaramondStd-Bk" w:hAnsi="ITCGaramondStd-Bk" w:cs="ITCGaramondStd-Bk"/>
          <w:color w:val="FF0000"/>
          <w:sz w:val="20"/>
          <w:szCs w:val="20"/>
        </w:rPr>
        <w:t xml:space="preserve">, and </w:t>
      </w:r>
      <w:proofErr w:type="spellStart"/>
      <w:r w:rsidRPr="0056502E">
        <w:rPr>
          <w:rFonts w:ascii="ITCGaramondStd-Bk" w:hAnsi="ITCGaramondStd-Bk" w:cs="ITCGaramondStd-Bk"/>
          <w:color w:val="FF0000"/>
          <w:sz w:val="20"/>
          <w:szCs w:val="20"/>
        </w:rPr>
        <w:t>phenytoin</w:t>
      </w:r>
      <w:proofErr w:type="spellEnd"/>
    </w:p>
    <w:p w:rsidR="0035253B" w:rsidRDefault="005F235D" w:rsidP="0056502E">
      <w:pPr>
        <w:pStyle w:val="ListParagraph"/>
        <w:numPr>
          <w:ilvl w:val="0"/>
          <w:numId w:val="8"/>
        </w:numPr>
        <w:spacing w:line="480" w:lineRule="auto"/>
      </w:pPr>
      <w:r>
        <w:lastRenderedPageBreak/>
        <w:t>According to</w:t>
      </w:r>
      <w:r w:rsidR="00241E45">
        <w:t xml:space="preserve"> Parker and </w:t>
      </w:r>
      <w:proofErr w:type="spellStart"/>
      <w:r w:rsidR="00241E45">
        <w:t>Handoll</w:t>
      </w:r>
      <w:proofErr w:type="spellEnd"/>
      <w:r w:rsidR="00241E45">
        <w:t xml:space="preserve"> (2006), the use of pre-operative traction for reducing pain in a hip fracture wasn’t shown to reduce pain very significantly. </w:t>
      </w:r>
      <w:r w:rsidR="0056502E">
        <w:t xml:space="preserve"> </w:t>
      </w:r>
      <w:r w:rsidR="0056502E">
        <w:rPr>
          <w:color w:val="FF0000"/>
        </w:rPr>
        <w:t xml:space="preserve">But you will still see it in the nursing books as treatment even with </w:t>
      </w:r>
      <w:r w:rsidR="00EF4F4F">
        <w:rPr>
          <w:color w:val="FF0000"/>
        </w:rPr>
        <w:t>evidence</w:t>
      </w:r>
      <w:r w:rsidR="0056502E">
        <w:rPr>
          <w:color w:val="FF0000"/>
        </w:rPr>
        <w:t xml:space="preserve"> that it doesn’t do any good.  </w:t>
      </w:r>
    </w:p>
    <w:p w:rsidR="0056502E" w:rsidRDefault="0056502E" w:rsidP="0056502E">
      <w:pPr>
        <w:pStyle w:val="ListParagraph"/>
        <w:numPr>
          <w:ilvl w:val="0"/>
          <w:numId w:val="8"/>
        </w:numPr>
        <w:autoSpaceDE w:val="0"/>
        <w:autoSpaceDN w:val="0"/>
        <w:adjustRightInd w:val="0"/>
        <w:spacing w:after="0" w:line="240" w:lineRule="auto"/>
      </w:pPr>
      <w:r>
        <w:t xml:space="preserve"> </w:t>
      </w:r>
      <w:r w:rsidR="00241E45">
        <w:t xml:space="preserve">Some specific interventions used to prevent </w:t>
      </w:r>
      <w:proofErr w:type="spellStart"/>
      <w:r w:rsidR="00241E45">
        <w:t>atelectasis</w:t>
      </w:r>
      <w:proofErr w:type="spellEnd"/>
      <w:r w:rsidR="00241E45">
        <w:t xml:space="preserve"> would be to do deep breathing </w:t>
      </w:r>
      <w:r w:rsidR="004C660C">
        <w:t>exercises</w:t>
      </w:r>
      <w:r w:rsidR="00241E45">
        <w:t xml:space="preserve"> </w:t>
      </w:r>
      <w:r w:rsidR="004C660C">
        <w:t>and frequent repositioning</w:t>
      </w:r>
      <w:r w:rsidR="004C660C" w:rsidRPr="0056502E">
        <w:rPr>
          <w:color w:val="FF0000"/>
        </w:rPr>
        <w:t>.</w:t>
      </w:r>
      <w:r w:rsidRPr="0056502E">
        <w:rPr>
          <w:color w:val="FF0000"/>
        </w:rPr>
        <w:t xml:space="preserve">  </w:t>
      </w:r>
      <w:r w:rsidRPr="0056502E">
        <w:rPr>
          <w:rFonts w:ascii="ITCGaramondStd-Bk" w:hAnsi="ITCGaramondStd-Bk" w:cs="ITCGaramondStd-Bk"/>
          <w:color w:val="FF0000"/>
          <w:sz w:val="20"/>
          <w:szCs w:val="20"/>
        </w:rPr>
        <w:t xml:space="preserve">For avoidance of </w:t>
      </w:r>
      <w:proofErr w:type="spellStart"/>
      <w:r w:rsidRPr="0056502E">
        <w:rPr>
          <w:rFonts w:ascii="ITCGaramondStd-Bk" w:hAnsi="ITCGaramondStd-Bk" w:cs="ITCGaramondStd-Bk"/>
          <w:color w:val="FF0000"/>
          <w:sz w:val="20"/>
          <w:szCs w:val="20"/>
        </w:rPr>
        <w:t>atelectasis</w:t>
      </w:r>
      <w:proofErr w:type="spellEnd"/>
      <w:r w:rsidRPr="0056502E">
        <w:rPr>
          <w:rFonts w:ascii="ITCGaramondStd-Bk" w:hAnsi="ITCGaramondStd-Bk" w:cs="ITCGaramondStd-Bk"/>
          <w:color w:val="FF0000"/>
          <w:sz w:val="20"/>
          <w:szCs w:val="20"/>
        </w:rPr>
        <w:t xml:space="preserve">, assessing breath sounds every 4 hours, use </w:t>
      </w:r>
      <w:proofErr w:type="gramStart"/>
      <w:r w:rsidRPr="0056502E">
        <w:rPr>
          <w:rFonts w:ascii="ITCGaramondStd-Bk" w:hAnsi="ITCGaramondStd-Bk" w:cs="ITCGaramondStd-Bk"/>
          <w:color w:val="FF0000"/>
          <w:sz w:val="20"/>
          <w:szCs w:val="20"/>
        </w:rPr>
        <w:t>of  incentive</w:t>
      </w:r>
      <w:proofErr w:type="gramEnd"/>
      <w:r w:rsidRPr="0056502E">
        <w:rPr>
          <w:rFonts w:ascii="ITCGaramondStd-Bk" w:hAnsi="ITCGaramondStd-Bk" w:cs="ITCGaramondStd-Bk"/>
          <w:color w:val="FF0000"/>
          <w:sz w:val="20"/>
          <w:szCs w:val="20"/>
        </w:rPr>
        <w:t xml:space="preserve"> </w:t>
      </w:r>
      <w:proofErr w:type="spellStart"/>
      <w:r w:rsidRPr="0056502E">
        <w:rPr>
          <w:rFonts w:ascii="ITCGaramondStd-Bk" w:hAnsi="ITCGaramondStd-Bk" w:cs="ITCGaramondStd-Bk"/>
          <w:color w:val="FF0000"/>
          <w:sz w:val="20"/>
          <w:szCs w:val="20"/>
        </w:rPr>
        <w:t>spirometry</w:t>
      </w:r>
      <w:proofErr w:type="spellEnd"/>
      <w:r w:rsidRPr="0056502E">
        <w:rPr>
          <w:rFonts w:ascii="ITCGaramondStd-Bk" w:hAnsi="ITCGaramondStd-Bk" w:cs="ITCGaramondStd-Bk"/>
          <w:color w:val="FF0000"/>
          <w:sz w:val="20"/>
          <w:szCs w:val="20"/>
        </w:rPr>
        <w:t xml:space="preserve"> every hour while awake, coughing and change of position every 2 hours</w:t>
      </w:r>
      <w:r w:rsidRPr="0056502E">
        <w:rPr>
          <w:rFonts w:ascii="ITCGaramondStd-Bk" w:hAnsi="ITCGaramondStd-Bk" w:cs="ITCGaramondStd-Bk"/>
          <w:sz w:val="20"/>
          <w:szCs w:val="20"/>
        </w:rPr>
        <w:t>.</w:t>
      </w:r>
      <w:r>
        <w:t xml:space="preserve"> </w:t>
      </w:r>
    </w:p>
    <w:p w:rsidR="0056502E" w:rsidRDefault="0056502E" w:rsidP="0056502E">
      <w:pPr>
        <w:autoSpaceDE w:val="0"/>
        <w:autoSpaceDN w:val="0"/>
        <w:adjustRightInd w:val="0"/>
        <w:spacing w:after="0" w:line="240" w:lineRule="auto"/>
      </w:pPr>
    </w:p>
    <w:p w:rsidR="0056502E" w:rsidRPr="0056502E" w:rsidRDefault="004C660C" w:rsidP="0056502E">
      <w:pPr>
        <w:autoSpaceDE w:val="0"/>
        <w:autoSpaceDN w:val="0"/>
        <w:adjustRightInd w:val="0"/>
        <w:spacing w:after="0" w:line="240" w:lineRule="auto"/>
        <w:rPr>
          <w:color w:val="FF0000"/>
        </w:rPr>
      </w:pPr>
      <w:r>
        <w:t xml:space="preserve"> Some interventions for skin breakdown would be to reposition the patient frequently, and keep the skin clean and dry</w:t>
      </w:r>
      <w:r w:rsidR="0056502E">
        <w:t xml:space="preserve">  </w:t>
      </w:r>
      <w:r w:rsidR="0056502E" w:rsidRPr="0056502E">
        <w:rPr>
          <w:rFonts w:ascii="ITCGaramondStd-Bk" w:hAnsi="ITCGaramondStd-Bk" w:cs="ITCGaramondStd-Bk"/>
          <w:color w:val="FF0000"/>
          <w:sz w:val="20"/>
          <w:szCs w:val="20"/>
        </w:rPr>
        <w:t>Skin breakdown can be prevented by keeping the patient clean and dry, change of position using a trapeze as tolerated, special mattress on the bed, and inspecting skin every 4 hours, especially the heels.</w:t>
      </w:r>
    </w:p>
    <w:p w:rsidR="0056502E" w:rsidRDefault="0056502E" w:rsidP="0056502E">
      <w:pPr>
        <w:autoSpaceDE w:val="0"/>
        <w:autoSpaceDN w:val="0"/>
        <w:adjustRightInd w:val="0"/>
        <w:spacing w:after="0" w:line="240" w:lineRule="auto"/>
      </w:pPr>
    </w:p>
    <w:p w:rsidR="00241E45" w:rsidRDefault="004C660C" w:rsidP="0056502E">
      <w:pPr>
        <w:autoSpaceDE w:val="0"/>
        <w:autoSpaceDN w:val="0"/>
        <w:adjustRightInd w:val="0"/>
        <w:spacing w:after="0" w:line="240" w:lineRule="auto"/>
      </w:pPr>
      <w:r>
        <w:t>some interventions for DVT would be to have the patient practice active or passive ROM, whichever she prefers, and to have her get up and walk as soon as possible after her surgery.</w:t>
      </w:r>
    </w:p>
    <w:p w:rsidR="0056502E" w:rsidRPr="0056502E" w:rsidRDefault="0056502E" w:rsidP="0056502E">
      <w:pPr>
        <w:autoSpaceDE w:val="0"/>
        <w:autoSpaceDN w:val="0"/>
        <w:adjustRightInd w:val="0"/>
        <w:spacing w:after="0" w:line="240" w:lineRule="auto"/>
        <w:rPr>
          <w:rFonts w:ascii="ITCGaramondStd-Bk" w:hAnsi="ITCGaramondStd-Bk" w:cs="ITCGaramondStd-Bk"/>
          <w:color w:val="FF0000"/>
          <w:sz w:val="20"/>
          <w:szCs w:val="20"/>
        </w:rPr>
      </w:pPr>
      <w:r w:rsidRPr="0056502E">
        <w:rPr>
          <w:rFonts w:ascii="ITCGaramondStd-Bk" w:hAnsi="ITCGaramondStd-Bk" w:cs="ITCGaramondStd-Bk"/>
          <w:color w:val="FF0000"/>
          <w:sz w:val="20"/>
          <w:szCs w:val="20"/>
        </w:rPr>
        <w:t>To decrease the occurrence of DVT, use of elastic hose, sequential compression device, getting out of bed</w:t>
      </w:r>
    </w:p>
    <w:p w:rsidR="0056502E" w:rsidRPr="0056502E" w:rsidRDefault="0056502E" w:rsidP="0056502E">
      <w:pPr>
        <w:autoSpaceDE w:val="0"/>
        <w:autoSpaceDN w:val="0"/>
        <w:adjustRightInd w:val="0"/>
        <w:spacing w:after="0" w:line="240" w:lineRule="auto"/>
        <w:rPr>
          <w:color w:val="FF0000"/>
        </w:rPr>
      </w:pPr>
      <w:proofErr w:type="gramStart"/>
      <w:r w:rsidRPr="0056502E">
        <w:rPr>
          <w:rFonts w:ascii="ITCGaramondStd-Bk" w:hAnsi="ITCGaramondStd-Bk" w:cs="ITCGaramondStd-Bk"/>
          <w:color w:val="FF0000"/>
          <w:sz w:val="20"/>
          <w:szCs w:val="20"/>
        </w:rPr>
        <w:t>as</w:t>
      </w:r>
      <w:proofErr w:type="gramEnd"/>
      <w:r w:rsidRPr="0056502E">
        <w:rPr>
          <w:rFonts w:ascii="ITCGaramondStd-Bk" w:hAnsi="ITCGaramondStd-Bk" w:cs="ITCGaramondStd-Bk"/>
          <w:color w:val="FF0000"/>
          <w:sz w:val="20"/>
          <w:szCs w:val="20"/>
        </w:rPr>
        <w:t xml:space="preserve"> tolerated, low molecular weight Heparin such as </w:t>
      </w:r>
      <w:proofErr w:type="spellStart"/>
      <w:r w:rsidRPr="0056502E">
        <w:rPr>
          <w:rFonts w:ascii="ITCGaramondStd-Bk" w:hAnsi="ITCGaramondStd-Bk" w:cs="ITCGaramondStd-Bk"/>
          <w:color w:val="FF0000"/>
          <w:sz w:val="20"/>
          <w:szCs w:val="20"/>
        </w:rPr>
        <w:t>Lovenox</w:t>
      </w:r>
      <w:proofErr w:type="spellEnd"/>
      <w:r w:rsidRPr="0056502E">
        <w:rPr>
          <w:rFonts w:ascii="ITCGaramondStd-Bk" w:hAnsi="ITCGaramondStd-Bk" w:cs="ITCGaramondStd-Bk"/>
          <w:color w:val="FF0000"/>
          <w:sz w:val="20"/>
          <w:szCs w:val="20"/>
        </w:rPr>
        <w:t xml:space="preserve"> (</w:t>
      </w:r>
      <w:proofErr w:type="spellStart"/>
      <w:r w:rsidRPr="0056502E">
        <w:rPr>
          <w:rFonts w:ascii="ITCGaramondStd-Bk" w:hAnsi="ITCGaramondStd-Bk" w:cs="ITCGaramondStd-Bk"/>
          <w:color w:val="FF0000"/>
          <w:sz w:val="20"/>
          <w:szCs w:val="20"/>
        </w:rPr>
        <w:t>enoxaparin</w:t>
      </w:r>
      <w:proofErr w:type="spellEnd"/>
      <w:r w:rsidRPr="0056502E">
        <w:rPr>
          <w:rFonts w:ascii="ITCGaramondStd-Bk" w:hAnsi="ITCGaramondStd-Bk" w:cs="ITCGaramondStd-Bk"/>
          <w:color w:val="FF0000"/>
          <w:sz w:val="20"/>
          <w:szCs w:val="20"/>
        </w:rPr>
        <w:t>) and Coumadin (</w:t>
      </w:r>
      <w:proofErr w:type="spellStart"/>
      <w:r w:rsidRPr="0056502E">
        <w:rPr>
          <w:rFonts w:ascii="ITCGaramondStd-Bk" w:hAnsi="ITCGaramondStd-Bk" w:cs="ITCGaramondStd-Bk"/>
          <w:color w:val="FF0000"/>
          <w:sz w:val="20"/>
          <w:szCs w:val="20"/>
        </w:rPr>
        <w:t>warfarin</w:t>
      </w:r>
      <w:proofErr w:type="spellEnd"/>
      <w:r w:rsidRPr="0056502E">
        <w:rPr>
          <w:rFonts w:ascii="ITCGaramondStd-Bk" w:hAnsi="ITCGaramondStd-Bk" w:cs="ITCGaramondStd-Bk"/>
          <w:color w:val="FF0000"/>
          <w:sz w:val="20"/>
          <w:szCs w:val="20"/>
        </w:rPr>
        <w:t>).</w:t>
      </w:r>
    </w:p>
    <w:p w:rsidR="0056502E" w:rsidRDefault="0056502E" w:rsidP="0056502E">
      <w:pPr>
        <w:autoSpaceDE w:val="0"/>
        <w:autoSpaceDN w:val="0"/>
        <w:adjustRightInd w:val="0"/>
        <w:spacing w:after="0" w:line="240" w:lineRule="auto"/>
      </w:pPr>
    </w:p>
    <w:p w:rsidR="0056502E" w:rsidRPr="0056502E" w:rsidRDefault="004C660C" w:rsidP="0056502E">
      <w:pPr>
        <w:autoSpaceDE w:val="0"/>
        <w:autoSpaceDN w:val="0"/>
        <w:adjustRightInd w:val="0"/>
        <w:spacing w:after="0" w:line="240" w:lineRule="auto"/>
        <w:rPr>
          <w:rFonts w:ascii="ITCGaramondStd-Bk" w:hAnsi="ITCGaramondStd-Bk" w:cs="ITCGaramondStd-Bk"/>
          <w:color w:val="FF0000"/>
          <w:sz w:val="20"/>
          <w:szCs w:val="20"/>
        </w:rPr>
      </w:pPr>
      <w:r>
        <w:t>Measures that can be used to avoid abduction of the affected hip are to position the patient in a comfortable position and place assistance on the patients affected side if she is up and moving so that she doesn’t fall</w:t>
      </w:r>
      <w:r w:rsidRPr="0056502E">
        <w:rPr>
          <w:color w:val="FF0000"/>
        </w:rPr>
        <w:t>.</w:t>
      </w:r>
      <w:r w:rsidR="0056502E" w:rsidRPr="0056502E">
        <w:rPr>
          <w:color w:val="FF0000"/>
        </w:rPr>
        <w:t xml:space="preserve">  </w:t>
      </w:r>
      <w:r w:rsidR="0056502E" w:rsidRPr="0056502E">
        <w:rPr>
          <w:rFonts w:ascii="ITCGaramondStd-Bk" w:hAnsi="ITCGaramondStd-Bk" w:cs="ITCGaramondStd-Bk"/>
          <w:color w:val="FF0000"/>
          <w:sz w:val="20"/>
          <w:szCs w:val="20"/>
        </w:rPr>
        <w:t>Use of an abductor pillow while in bed, teaching the patient not to cross their legs</w:t>
      </w:r>
    </w:p>
    <w:p w:rsidR="004C660C" w:rsidRDefault="0056502E" w:rsidP="0056502E">
      <w:pPr>
        <w:pStyle w:val="ListParagraph"/>
        <w:spacing w:line="480" w:lineRule="auto"/>
        <w:ind w:left="1170"/>
      </w:pPr>
      <w:proofErr w:type="gramStart"/>
      <w:r w:rsidRPr="0056502E">
        <w:rPr>
          <w:rFonts w:ascii="ITCGaramondStd-Bk" w:hAnsi="ITCGaramondStd-Bk" w:cs="ITCGaramondStd-Bk"/>
          <w:color w:val="FF0000"/>
          <w:sz w:val="20"/>
          <w:szCs w:val="20"/>
        </w:rPr>
        <w:t>or</w:t>
      </w:r>
      <w:proofErr w:type="gramEnd"/>
      <w:r w:rsidRPr="0056502E">
        <w:rPr>
          <w:rFonts w:ascii="ITCGaramondStd-Bk" w:hAnsi="ITCGaramondStd-Bk" w:cs="ITCGaramondStd-Bk"/>
          <w:color w:val="FF0000"/>
          <w:sz w:val="20"/>
          <w:szCs w:val="20"/>
        </w:rPr>
        <w:t xml:space="preserve"> bend over</w:t>
      </w:r>
      <w:r>
        <w:rPr>
          <w:rFonts w:ascii="ITCGaramondStd-Bk" w:hAnsi="ITCGaramondStd-Bk" w:cs="ITCGaramondStd-Bk"/>
          <w:sz w:val="20"/>
          <w:szCs w:val="20"/>
        </w:rPr>
        <w:t>.</w:t>
      </w:r>
    </w:p>
    <w:p w:rsidR="004C660C" w:rsidRDefault="004C660C" w:rsidP="0056502E">
      <w:pPr>
        <w:pStyle w:val="ListParagraph"/>
        <w:numPr>
          <w:ilvl w:val="0"/>
          <w:numId w:val="12"/>
        </w:numPr>
        <w:spacing w:line="480" w:lineRule="auto"/>
      </w:pPr>
      <w:r>
        <w:t xml:space="preserve">At this point the nurse is assessing for </w:t>
      </w:r>
      <w:r w:rsidR="00217141">
        <w:t>alcohol withdrawal.</w:t>
      </w:r>
    </w:p>
    <w:p w:rsidR="0019296C" w:rsidRPr="0019296C" w:rsidRDefault="00217141" w:rsidP="0019296C">
      <w:pPr>
        <w:pStyle w:val="ListParagraph"/>
        <w:numPr>
          <w:ilvl w:val="0"/>
          <w:numId w:val="12"/>
        </w:numPr>
        <w:autoSpaceDE w:val="0"/>
        <w:autoSpaceDN w:val="0"/>
        <w:adjustRightInd w:val="0"/>
        <w:spacing w:after="0" w:line="240" w:lineRule="auto"/>
        <w:rPr>
          <w:rFonts w:ascii="ITCGaramondStd-Bk" w:hAnsi="ITCGaramondStd-Bk" w:cs="ITCGaramondStd-Bk"/>
          <w:color w:val="FF0000"/>
          <w:sz w:val="20"/>
          <w:szCs w:val="20"/>
        </w:rPr>
      </w:pPr>
      <w:r>
        <w:t>For individuals who are able to return home following a hip replacement, would be to invest in assistive devices such as a walker/cane, a raised toilet seat with hand rails for easy lowering and standing and the use of non-skid socks and shoes. Also, cords, carpets and rugs should be taped down or removed to prevent the</w:t>
      </w:r>
      <w:r w:rsidR="0019296C">
        <w:t xml:space="preserve"> risk</w:t>
      </w:r>
      <w:r>
        <w:t xml:space="preserve"> of falling</w:t>
      </w:r>
      <w:r w:rsidRPr="0019296C">
        <w:rPr>
          <w:color w:val="FF0000"/>
        </w:rPr>
        <w:t>.</w:t>
      </w:r>
      <w:r w:rsidR="0019296C" w:rsidRPr="0019296C">
        <w:rPr>
          <w:color w:val="FF0000"/>
        </w:rPr>
        <w:t xml:space="preserve">  </w:t>
      </w:r>
      <w:r w:rsidR="0019296C" w:rsidRPr="0019296C">
        <w:rPr>
          <w:rFonts w:ascii="ITCGaramondStd-Bk" w:hAnsi="ITCGaramondStd-Bk" w:cs="ITCGaramondStd-Bk"/>
          <w:color w:val="FF0000"/>
          <w:sz w:val="20"/>
          <w:szCs w:val="20"/>
        </w:rPr>
        <w:t>Home planning is coordinated among the nursing staff, discharge planner, physical, and occupational therapy. To promote safety, the following would be suggested,</w:t>
      </w:r>
    </w:p>
    <w:p w:rsidR="0019296C" w:rsidRPr="0019296C" w:rsidRDefault="0019296C" w:rsidP="0019296C">
      <w:pPr>
        <w:autoSpaceDE w:val="0"/>
        <w:autoSpaceDN w:val="0"/>
        <w:adjustRightInd w:val="0"/>
        <w:spacing w:after="0" w:line="240" w:lineRule="auto"/>
        <w:rPr>
          <w:rFonts w:ascii="ITCGaramondStd-Bk" w:hAnsi="ITCGaramondStd-Bk" w:cs="ITCGaramondStd-Bk"/>
          <w:color w:val="FF0000"/>
          <w:sz w:val="20"/>
          <w:szCs w:val="20"/>
        </w:rPr>
      </w:pPr>
      <w:proofErr w:type="gramStart"/>
      <w:r w:rsidRPr="0019296C">
        <w:rPr>
          <w:rFonts w:ascii="ITCGaramondStd-Bk" w:hAnsi="ITCGaramondStd-Bk" w:cs="ITCGaramondStd-Bk"/>
          <w:color w:val="FF0000"/>
          <w:sz w:val="20"/>
          <w:szCs w:val="20"/>
        </w:rPr>
        <w:t>and/or</w:t>
      </w:r>
      <w:proofErr w:type="gramEnd"/>
      <w:r w:rsidRPr="0019296C">
        <w:rPr>
          <w:rFonts w:ascii="ITCGaramondStd-Bk" w:hAnsi="ITCGaramondStd-Bk" w:cs="ITCGaramondStd-Bk"/>
          <w:color w:val="FF0000"/>
          <w:sz w:val="20"/>
          <w:szCs w:val="20"/>
        </w:rPr>
        <w:t xml:space="preserve"> provided: • Securely fastened safety bars or handrails in your shower or bath • A stable chair for with a firm seat cushion (that allows the knees to remain lower than the hips), a firm back, and two arms • A raised toilet seat</w:t>
      </w:r>
    </w:p>
    <w:p w:rsidR="00217141" w:rsidRPr="0019296C" w:rsidRDefault="0019296C" w:rsidP="0019296C">
      <w:pPr>
        <w:autoSpaceDE w:val="0"/>
        <w:autoSpaceDN w:val="0"/>
        <w:adjustRightInd w:val="0"/>
        <w:spacing w:after="0" w:line="240" w:lineRule="auto"/>
        <w:rPr>
          <w:rFonts w:ascii="ITCGaramondStd-Bk" w:hAnsi="ITCGaramondStd-Bk" w:cs="ITCGaramondStd-Bk"/>
          <w:color w:val="FF0000"/>
          <w:sz w:val="20"/>
          <w:szCs w:val="20"/>
        </w:rPr>
      </w:pPr>
      <w:r w:rsidRPr="0019296C">
        <w:rPr>
          <w:rFonts w:ascii="ITCGaramondStd-Bk" w:hAnsi="ITCGaramondStd-Bk" w:cs="ITCGaramondStd-Bk"/>
          <w:color w:val="FF0000"/>
          <w:sz w:val="20"/>
          <w:szCs w:val="20"/>
        </w:rPr>
        <w:t>• A stable shower bench or chair for bathing • A long-handled sponge and shower hose • A dressing stick, a sock aid, and a long-handled shoe horn for putting on and taking off shoes and socks without excessively bending the affected hip • A “</w:t>
      </w:r>
      <w:proofErr w:type="spellStart"/>
      <w:r w:rsidRPr="0019296C">
        <w:rPr>
          <w:rFonts w:ascii="ITCGaramondStd-Bk" w:hAnsi="ITCGaramondStd-Bk" w:cs="ITCGaramondStd-Bk"/>
          <w:color w:val="FF0000"/>
          <w:sz w:val="20"/>
          <w:szCs w:val="20"/>
        </w:rPr>
        <w:t>reacher</w:t>
      </w:r>
      <w:proofErr w:type="spellEnd"/>
      <w:r w:rsidRPr="0019296C">
        <w:rPr>
          <w:rFonts w:ascii="ITCGaramondStd-Bk" w:hAnsi="ITCGaramondStd-Bk" w:cs="ITCGaramondStd-Bk"/>
          <w:color w:val="FF0000"/>
          <w:sz w:val="20"/>
          <w:szCs w:val="20"/>
        </w:rPr>
        <w:t>” that allows grabbing objects without excessive bending of the hips • Removal of all loose carpets and electrical cords from the areas where walking in the home.</w:t>
      </w:r>
    </w:p>
    <w:p w:rsidR="0019296C" w:rsidRDefault="0019296C" w:rsidP="0019296C">
      <w:pPr>
        <w:autoSpaceDE w:val="0"/>
        <w:autoSpaceDN w:val="0"/>
        <w:adjustRightInd w:val="0"/>
        <w:spacing w:after="0" w:line="240" w:lineRule="auto"/>
      </w:pPr>
    </w:p>
    <w:p w:rsidR="00217141" w:rsidRDefault="00217141" w:rsidP="0019296C">
      <w:pPr>
        <w:pStyle w:val="ListParagraph"/>
        <w:numPr>
          <w:ilvl w:val="0"/>
          <w:numId w:val="12"/>
        </w:numPr>
        <w:spacing w:line="480" w:lineRule="auto"/>
      </w:pPr>
      <w:r>
        <w:t xml:space="preserve">According to </w:t>
      </w:r>
      <w:proofErr w:type="spellStart"/>
      <w:r>
        <w:t>Mauk</w:t>
      </w:r>
      <w:proofErr w:type="spellEnd"/>
      <w:r>
        <w:t xml:space="preserve"> (2010), half of all women and </w:t>
      </w:r>
      <w:r w:rsidR="009B647F">
        <w:t xml:space="preserve">one quarter of all men over the age of 50 will experience a fracture in their </w:t>
      </w:r>
      <w:r w:rsidR="00C90A27">
        <w:t>lifetime</w:t>
      </w:r>
      <w:r w:rsidR="009B647F">
        <w:t xml:space="preserve"> (</w:t>
      </w:r>
      <w:proofErr w:type="spellStart"/>
      <w:r w:rsidR="009B647F">
        <w:t>Mauk</w:t>
      </w:r>
      <w:proofErr w:type="spellEnd"/>
      <w:r w:rsidR="009B647F">
        <w:t>, 2010, p. 189).</w:t>
      </w:r>
    </w:p>
    <w:p w:rsidR="0019296C" w:rsidRPr="0019296C" w:rsidRDefault="0019296C" w:rsidP="00EF4F4F">
      <w:pPr>
        <w:pStyle w:val="ListParagraph"/>
        <w:autoSpaceDE w:val="0"/>
        <w:autoSpaceDN w:val="0"/>
        <w:adjustRightInd w:val="0"/>
        <w:spacing w:after="0" w:line="240" w:lineRule="auto"/>
        <w:ind w:left="1530"/>
        <w:rPr>
          <w:rFonts w:ascii="ITCGaramondStd-Bk" w:hAnsi="ITCGaramondStd-Bk" w:cs="ITCGaramondStd-Bk"/>
          <w:color w:val="FF0000"/>
          <w:sz w:val="20"/>
          <w:szCs w:val="20"/>
        </w:rPr>
      </w:pPr>
      <w:r w:rsidRPr="0019296C">
        <w:rPr>
          <w:rFonts w:ascii="ITCGaramondStd-Bk" w:hAnsi="ITCGaramondStd-Bk" w:cs="ITCGaramondStd-Bk"/>
          <w:color w:val="FF0000"/>
          <w:sz w:val="20"/>
          <w:szCs w:val="20"/>
        </w:rPr>
        <w:t>Hip fractures are associated with substantial morbidity and mortality; approximately</w:t>
      </w:r>
    </w:p>
    <w:p w:rsidR="0019296C" w:rsidRPr="0019296C" w:rsidRDefault="0019296C" w:rsidP="0019296C">
      <w:pPr>
        <w:pStyle w:val="ListParagraph"/>
        <w:spacing w:line="480" w:lineRule="auto"/>
        <w:ind w:left="1530"/>
        <w:rPr>
          <w:color w:val="FF0000"/>
        </w:rPr>
      </w:pPr>
      <w:r w:rsidRPr="0019296C">
        <w:rPr>
          <w:rFonts w:ascii="ITCGaramondStd-Bk" w:hAnsi="ITCGaramondStd-Bk" w:cs="ITCGaramondStd-Bk"/>
          <w:color w:val="FF0000"/>
          <w:sz w:val="20"/>
          <w:szCs w:val="20"/>
        </w:rPr>
        <w:t>15%</w:t>
      </w:r>
      <w:r w:rsidRPr="0019296C">
        <w:rPr>
          <w:rFonts w:ascii="ITCGaramondStd-Bk" w:hAnsi="ITCGaramondStd-Bk" w:cs="ITCGaramondStd-Bk"/>
          <w:color w:val="FF0000"/>
          <w:sz w:val="18"/>
          <w:szCs w:val="18"/>
        </w:rPr>
        <w:t>–</w:t>
      </w:r>
      <w:r w:rsidRPr="0019296C">
        <w:rPr>
          <w:rFonts w:ascii="ITCGaramondStd-Bk" w:hAnsi="ITCGaramondStd-Bk" w:cs="ITCGaramondStd-Bk"/>
          <w:color w:val="FF0000"/>
          <w:sz w:val="20"/>
          <w:szCs w:val="20"/>
        </w:rPr>
        <w:t>20% of patients die within 1 year of fracture (Davenport, 2010).</w:t>
      </w:r>
    </w:p>
    <w:p w:rsidR="00241E45" w:rsidRDefault="00D66E1F" w:rsidP="00E14FF7">
      <w:pPr>
        <w:ind w:left="360"/>
        <w:jc w:val="center"/>
      </w:pPr>
      <w:r>
        <w:lastRenderedPageBreak/>
        <w:t>References</w:t>
      </w:r>
    </w:p>
    <w:p w:rsidR="00D66E1F" w:rsidRDefault="00D66E1F" w:rsidP="00034C79">
      <w:pPr>
        <w:ind w:left="720" w:hanging="720"/>
      </w:pPr>
      <w:proofErr w:type="spellStart"/>
      <w:r>
        <w:t>Mauk</w:t>
      </w:r>
      <w:proofErr w:type="spellEnd"/>
      <w:r>
        <w:t xml:space="preserve">, K. L. (2010). </w:t>
      </w:r>
      <w:proofErr w:type="spellStart"/>
      <w:r w:rsidRPr="00F41677">
        <w:rPr>
          <w:i/>
        </w:rPr>
        <w:t>Gerontological</w:t>
      </w:r>
      <w:proofErr w:type="spellEnd"/>
      <w:r w:rsidRPr="00F41677">
        <w:rPr>
          <w:i/>
        </w:rPr>
        <w:t xml:space="preserve"> nursing: Competencies for care</w:t>
      </w:r>
      <w:r>
        <w:rPr>
          <w:i/>
        </w:rPr>
        <w:t xml:space="preserve"> </w:t>
      </w:r>
      <w:r>
        <w:t>(2</w:t>
      </w:r>
      <w:r w:rsidRPr="003415EA">
        <w:rPr>
          <w:vertAlign w:val="superscript"/>
        </w:rPr>
        <w:t>nd</w:t>
      </w:r>
      <w:r>
        <w:t xml:space="preserve"> </w:t>
      </w:r>
      <w:proofErr w:type="gramStart"/>
      <w:r>
        <w:t>ed</w:t>
      </w:r>
      <w:proofErr w:type="gramEnd"/>
      <w:r>
        <w:t>.). Boston:  Jones and Bartlett.</w:t>
      </w:r>
    </w:p>
    <w:p w:rsidR="00D66E1F" w:rsidRDefault="00241E45" w:rsidP="00034C79">
      <w:pPr>
        <w:ind w:left="720" w:hanging="720"/>
      </w:pPr>
      <w:proofErr w:type="gramStart"/>
      <w:r>
        <w:t>Parker, M. J.</w:t>
      </w:r>
      <w:r w:rsidR="0019296C">
        <w:rPr>
          <w:color w:val="FF0000"/>
        </w:rPr>
        <w:t>,</w:t>
      </w:r>
      <w:r>
        <w:t xml:space="preserve"> &amp; </w:t>
      </w:r>
      <w:proofErr w:type="spellStart"/>
      <w:r>
        <w:t>Handoll</w:t>
      </w:r>
      <w:proofErr w:type="spellEnd"/>
      <w:r>
        <w:t>, H.G. (2006).</w:t>
      </w:r>
      <w:proofErr w:type="gramEnd"/>
      <w:r>
        <w:t xml:space="preserve"> </w:t>
      </w:r>
      <w:proofErr w:type="gramStart"/>
      <w:r>
        <w:rPr>
          <w:i/>
        </w:rPr>
        <w:t xml:space="preserve">Pre-operative traction for fractures of the proximal femur in </w:t>
      </w:r>
      <w:r w:rsidRPr="00241E45">
        <w:t>adults</w:t>
      </w:r>
      <w:r>
        <w:t>.</w:t>
      </w:r>
      <w:proofErr w:type="gramEnd"/>
      <w:r>
        <w:t xml:space="preserve"> Cochrane reviews. </w:t>
      </w:r>
      <w:r w:rsidRPr="00241E45">
        <w:t>Retrieved</w:t>
      </w:r>
      <w:r>
        <w:t xml:space="preserve"> from </w:t>
      </w:r>
      <w:hyperlink r:id="rId7" w:history="1">
        <w:r>
          <w:rPr>
            <w:rStyle w:val="Hyperlink"/>
          </w:rPr>
          <w:t>http://www.thecochranelibrary.com/userfiles/ccoch/file/CD000168.pdf</w:t>
        </w:r>
      </w:hyperlink>
    </w:p>
    <w:p w:rsidR="00034C79" w:rsidRDefault="00034C79" w:rsidP="00034C79">
      <w:pPr>
        <w:jc w:val="center"/>
      </w:pPr>
    </w:p>
    <w:p w:rsidR="00034C79" w:rsidRDefault="00034C79" w:rsidP="00034C79">
      <w:pPr>
        <w:jc w:val="center"/>
      </w:pPr>
    </w:p>
    <w:p w:rsidR="00034C79" w:rsidRDefault="00034C79" w:rsidP="00034C79">
      <w:pPr>
        <w:jc w:val="center"/>
      </w:pPr>
    </w:p>
    <w:p w:rsidR="00034C79" w:rsidRDefault="00034C79" w:rsidP="00034C79">
      <w:pPr>
        <w:jc w:val="center"/>
      </w:pPr>
    </w:p>
    <w:p w:rsidR="00034C79" w:rsidRDefault="00034C79" w:rsidP="00034C79">
      <w:pPr>
        <w:jc w:val="center"/>
      </w:pPr>
    </w:p>
    <w:p w:rsidR="00034C79" w:rsidRDefault="00034C79" w:rsidP="00034C79">
      <w:pPr>
        <w:jc w:val="center"/>
      </w:pPr>
    </w:p>
    <w:p w:rsidR="00034C79" w:rsidRDefault="00034C79" w:rsidP="00034C79">
      <w:pPr>
        <w:jc w:val="center"/>
      </w:pPr>
    </w:p>
    <w:p w:rsidR="00034C79" w:rsidRDefault="00034C79" w:rsidP="00034C79">
      <w:pPr>
        <w:jc w:val="center"/>
      </w:pPr>
    </w:p>
    <w:p w:rsidR="00034C79" w:rsidRDefault="00034C79" w:rsidP="00034C79">
      <w:pPr>
        <w:jc w:val="center"/>
      </w:pPr>
    </w:p>
    <w:p w:rsidR="00034C79" w:rsidRDefault="00034C79" w:rsidP="00034C79">
      <w:pPr>
        <w:jc w:val="center"/>
      </w:pPr>
    </w:p>
    <w:p w:rsidR="00034C79" w:rsidRDefault="00034C79" w:rsidP="00034C79">
      <w:pPr>
        <w:jc w:val="center"/>
      </w:pPr>
    </w:p>
    <w:p w:rsidR="00034C79" w:rsidRDefault="00034C79" w:rsidP="00034C79">
      <w:pPr>
        <w:jc w:val="center"/>
      </w:pPr>
    </w:p>
    <w:p w:rsidR="00034C79" w:rsidRDefault="00034C79" w:rsidP="00034C79">
      <w:pPr>
        <w:jc w:val="center"/>
      </w:pPr>
    </w:p>
    <w:p w:rsidR="00034C79" w:rsidRDefault="00034C79" w:rsidP="00034C79">
      <w:pPr>
        <w:jc w:val="center"/>
      </w:pPr>
    </w:p>
    <w:p w:rsidR="00034C79" w:rsidRDefault="00034C79" w:rsidP="00034C79">
      <w:pPr>
        <w:jc w:val="center"/>
      </w:pPr>
    </w:p>
    <w:p w:rsidR="00034C79" w:rsidRDefault="00034C79" w:rsidP="00034C79">
      <w:pPr>
        <w:jc w:val="center"/>
      </w:pPr>
    </w:p>
    <w:p w:rsidR="00034C79" w:rsidRDefault="00034C79" w:rsidP="00034C79">
      <w:pPr>
        <w:jc w:val="center"/>
      </w:pPr>
      <w:r>
        <w:t>Falls: Home Environment</w:t>
      </w:r>
    </w:p>
    <w:p w:rsidR="0019296C" w:rsidRDefault="00034C79" w:rsidP="00034C79">
      <w:pPr>
        <w:pStyle w:val="ListParagraph"/>
        <w:numPr>
          <w:ilvl w:val="0"/>
          <w:numId w:val="6"/>
        </w:numPr>
        <w:spacing w:line="480" w:lineRule="auto"/>
      </w:pPr>
      <w:r>
        <w:t>Some costs associated with falling are emergency room costs, medication costs, rehabilitation costs and the loss of independence for some individuals can be a cost.</w:t>
      </w:r>
    </w:p>
    <w:p w:rsidR="0019296C" w:rsidRPr="0019296C" w:rsidRDefault="0019296C" w:rsidP="0019296C">
      <w:pPr>
        <w:pStyle w:val="ListParagraph"/>
        <w:autoSpaceDE w:val="0"/>
        <w:autoSpaceDN w:val="0"/>
        <w:adjustRightInd w:val="0"/>
        <w:spacing w:after="0" w:line="240" w:lineRule="auto"/>
        <w:rPr>
          <w:color w:val="FF0000"/>
        </w:rPr>
      </w:pPr>
      <w:r w:rsidRPr="0019296C">
        <w:rPr>
          <w:rFonts w:ascii="ITCGaramondStd-Bk" w:hAnsi="ITCGaramondStd-Bk" w:cs="ITCGaramondStd-Bk"/>
          <w:color w:val="FF0000"/>
          <w:sz w:val="20"/>
          <w:szCs w:val="20"/>
        </w:rPr>
        <w:t xml:space="preserve">Costs of falls may include: injuries that rank high in common insurance claims and result in acute care medical costs associated with fractures; increased physical and emotional stress and decreased quality of </w:t>
      </w:r>
      <w:r w:rsidRPr="0019296C">
        <w:rPr>
          <w:rFonts w:ascii="ITCGaramondStd-Bk" w:hAnsi="ITCGaramondStd-Bk" w:cs="ITCGaramondStd-Bk"/>
          <w:color w:val="FF0000"/>
          <w:sz w:val="20"/>
          <w:szCs w:val="20"/>
        </w:rPr>
        <w:lastRenderedPageBreak/>
        <w:t>life; and just the fear of falling (without actual fall) affects physical, emotional, and social functioning (Diebold et al., 2010).</w:t>
      </w:r>
    </w:p>
    <w:p w:rsidR="00034C79" w:rsidRPr="00A216CD" w:rsidRDefault="00034C79" w:rsidP="00A216CD">
      <w:pPr>
        <w:pStyle w:val="ListParagraph"/>
        <w:numPr>
          <w:ilvl w:val="0"/>
          <w:numId w:val="5"/>
        </w:numPr>
        <w:autoSpaceDE w:val="0"/>
        <w:autoSpaceDN w:val="0"/>
        <w:adjustRightInd w:val="0"/>
        <w:spacing w:after="0" w:line="240" w:lineRule="auto"/>
        <w:rPr>
          <w:color w:val="FF0000"/>
        </w:rPr>
      </w:pPr>
      <w:r>
        <w:t>A suggested first step for Susan can be to get her mother to downsize her living space and move into a smaller, one-story home so the chance of falling up or down steps can be decreased.</w:t>
      </w:r>
      <w:r w:rsidR="0019296C">
        <w:t xml:space="preserve">  </w:t>
      </w:r>
      <w:r w:rsidR="0019296C" w:rsidRPr="00A216CD">
        <w:rPr>
          <w:rFonts w:ascii="ITCGaramondStd-Bk" w:hAnsi="ITCGaramondStd-Bk" w:cs="ITCGaramondStd-Bk"/>
          <w:color w:val="FF0000"/>
          <w:sz w:val="20"/>
          <w:szCs w:val="20"/>
        </w:rPr>
        <w:t xml:space="preserve">Contact a service-provider in the community for a falls prevention home assessment (Diebold et al., 2010; Krieger-Blake, 2010; Pugh, </w:t>
      </w:r>
      <w:proofErr w:type="spellStart"/>
      <w:r w:rsidR="0019296C" w:rsidRPr="00A216CD">
        <w:rPr>
          <w:rFonts w:ascii="ITCGaramondStd-Bk" w:hAnsi="ITCGaramondStd-Bk" w:cs="ITCGaramondStd-Bk"/>
          <w:color w:val="FF0000"/>
          <w:sz w:val="20"/>
          <w:szCs w:val="20"/>
        </w:rPr>
        <w:t>Yetzer</w:t>
      </w:r>
      <w:proofErr w:type="spellEnd"/>
      <w:r w:rsidR="0019296C" w:rsidRPr="00A216CD">
        <w:rPr>
          <w:rFonts w:ascii="ITCGaramondStd-Bk" w:hAnsi="ITCGaramondStd-Bk" w:cs="ITCGaramondStd-Bk"/>
          <w:color w:val="FF0000"/>
          <w:sz w:val="20"/>
          <w:szCs w:val="20"/>
        </w:rPr>
        <w:t xml:space="preserve">, &amp; </w:t>
      </w:r>
      <w:proofErr w:type="spellStart"/>
      <w:r w:rsidR="0019296C" w:rsidRPr="00A216CD">
        <w:rPr>
          <w:rFonts w:ascii="ITCGaramondStd-Bk" w:hAnsi="ITCGaramondStd-Bk" w:cs="ITCGaramondStd-Bk"/>
          <w:color w:val="FF0000"/>
          <w:sz w:val="20"/>
          <w:szCs w:val="20"/>
        </w:rPr>
        <w:t>Naden</w:t>
      </w:r>
      <w:proofErr w:type="spellEnd"/>
      <w:r w:rsidR="0019296C" w:rsidRPr="00A216CD">
        <w:rPr>
          <w:rFonts w:ascii="ITCGaramondStd-Bk" w:hAnsi="ITCGaramondStd-Bk" w:cs="ITCGaramondStd-Bk"/>
          <w:color w:val="FF0000"/>
          <w:sz w:val="20"/>
          <w:szCs w:val="20"/>
        </w:rPr>
        <w:t xml:space="preserve">-Blucher, 2007; </w:t>
      </w:r>
      <w:proofErr w:type="spellStart"/>
      <w:r w:rsidR="0019296C" w:rsidRPr="00A216CD">
        <w:rPr>
          <w:rFonts w:ascii="ITCGaramondStd-Bk" w:hAnsi="ITCGaramondStd-Bk" w:cs="ITCGaramondStd-Bk"/>
          <w:color w:val="FF0000"/>
          <w:sz w:val="20"/>
          <w:szCs w:val="20"/>
        </w:rPr>
        <w:t>Radwanski</w:t>
      </w:r>
      <w:proofErr w:type="spellEnd"/>
      <w:r w:rsidR="0019296C" w:rsidRPr="00A216CD">
        <w:rPr>
          <w:rFonts w:ascii="ITCGaramondStd-Bk" w:hAnsi="ITCGaramondStd-Bk" w:cs="ITCGaramondStd-Bk"/>
          <w:color w:val="FF0000"/>
          <w:sz w:val="20"/>
          <w:szCs w:val="20"/>
        </w:rPr>
        <w:t>, 2008) or search the Internet for a home safety checklist and use it to evaluate the home setting. Two Checklist examples to prevent falls in the home can be found at the following Web sites: American College of Emergency Physicians at http://www.acep.org/workarea/downloadasset.aspx?id=8716 and the North Carolina Cooperative Extension Service at http://www.ces.ncsu.edu/depts/fcs/pdfs/FCS-461.pdf.</w:t>
      </w:r>
    </w:p>
    <w:p w:rsidR="0019296C" w:rsidRDefault="0019296C" w:rsidP="0019296C">
      <w:pPr>
        <w:pStyle w:val="ListParagraph"/>
        <w:spacing w:line="480" w:lineRule="auto"/>
      </w:pPr>
    </w:p>
    <w:p w:rsidR="00034C79" w:rsidRDefault="00034C79" w:rsidP="00A216CD">
      <w:pPr>
        <w:pStyle w:val="ListParagraph"/>
        <w:numPr>
          <w:ilvl w:val="0"/>
          <w:numId w:val="5"/>
        </w:numPr>
        <w:spacing w:line="480" w:lineRule="auto"/>
      </w:pPr>
      <w:r>
        <w:t xml:space="preserve">According to </w:t>
      </w:r>
      <w:commentRangeStart w:id="0"/>
      <w:proofErr w:type="spellStart"/>
      <w:r>
        <w:t>PubMed</w:t>
      </w:r>
      <w:proofErr w:type="spellEnd"/>
      <w:r>
        <w:t xml:space="preserve"> Health </w:t>
      </w:r>
      <w:commentRangeEnd w:id="0"/>
      <w:r w:rsidR="00EF4F4F">
        <w:rPr>
          <w:rStyle w:val="CommentReference"/>
        </w:rPr>
        <w:commentReference w:id="0"/>
      </w:r>
      <w:r>
        <w:t xml:space="preserve">at </w:t>
      </w:r>
      <w:hyperlink r:id="rId9" w:anchor="a696016-sideEffects" w:history="1">
        <w:r>
          <w:rPr>
            <w:rStyle w:val="Hyperlink"/>
          </w:rPr>
          <w:t>http://www.ncbi.nlm.nih.gov/pubmedhealth/PMH0000981/#a696016-sideEffects</w:t>
        </w:r>
      </w:hyperlink>
      <w:r>
        <w:t xml:space="preserve">, </w:t>
      </w:r>
      <w:proofErr w:type="spellStart"/>
      <w:r>
        <w:t>Lopressor</w:t>
      </w:r>
      <w:proofErr w:type="spellEnd"/>
      <w:r>
        <w:t xml:space="preserve"> and </w:t>
      </w:r>
      <w:proofErr w:type="spellStart"/>
      <w:r>
        <w:t>Amaryl</w:t>
      </w:r>
      <w:proofErr w:type="spellEnd"/>
      <w:r>
        <w:t xml:space="preserve"> can cause </w:t>
      </w:r>
      <w:proofErr w:type="gramStart"/>
      <w:r>
        <w:t>dizziness</w:t>
      </w:r>
      <w:r w:rsidR="0019296C">
        <w:t xml:space="preserve">  </w:t>
      </w:r>
      <w:r w:rsidR="00A216CD" w:rsidRPr="00A216CD">
        <w:rPr>
          <w:color w:val="FF0000"/>
        </w:rPr>
        <w:t>(</w:t>
      </w:r>
      <w:proofErr w:type="gramEnd"/>
      <w:r w:rsidR="0019296C" w:rsidRPr="00A216CD">
        <w:rPr>
          <w:color w:val="FF0000"/>
        </w:rPr>
        <w:t>why?)</w:t>
      </w:r>
      <w:r w:rsidRPr="00A216CD">
        <w:rPr>
          <w:color w:val="FF0000"/>
        </w:rPr>
        <w:t>,</w:t>
      </w:r>
      <w:r>
        <w:t xml:space="preserve"> which can contribute to falls.</w:t>
      </w:r>
    </w:p>
    <w:p w:rsidR="00034C79" w:rsidRPr="00A216CD" w:rsidRDefault="00034C79" w:rsidP="00A216CD">
      <w:pPr>
        <w:pStyle w:val="ListParagraph"/>
        <w:numPr>
          <w:ilvl w:val="0"/>
          <w:numId w:val="5"/>
        </w:numPr>
        <w:autoSpaceDE w:val="0"/>
        <w:autoSpaceDN w:val="0"/>
        <w:adjustRightInd w:val="0"/>
        <w:spacing w:after="0" w:line="240" w:lineRule="auto"/>
        <w:rPr>
          <w:rFonts w:ascii="ITCGaramondStd-Bk" w:hAnsi="ITCGaramondStd-Bk" w:cs="ITCGaramondStd-Bk"/>
          <w:sz w:val="20"/>
          <w:szCs w:val="20"/>
        </w:rPr>
      </w:pPr>
      <w:r>
        <w:t>Some ideas offered to Mary that can help her visit her husband every day are to set up a dial-a-ride or take a taxi cab service to drive her back and forth at scheduled times every day, or she can call on a reliable family member who would be willing to help out and ask if they would be willing to take her, even if she has to modify her visiting days and times</w:t>
      </w:r>
      <w:r w:rsidRPr="00A216CD">
        <w:rPr>
          <w:color w:val="FF0000"/>
        </w:rPr>
        <w:t>.</w:t>
      </w:r>
      <w:r w:rsidR="00A216CD" w:rsidRPr="00A216CD">
        <w:rPr>
          <w:color w:val="FF0000"/>
        </w:rPr>
        <w:t xml:space="preserve">  </w:t>
      </w:r>
      <w:r w:rsidR="00A216CD" w:rsidRPr="00A216CD">
        <w:rPr>
          <w:rFonts w:ascii="ITCGaramondStd-Bk" w:hAnsi="ITCGaramondStd-Bk" w:cs="ITCGaramondStd-Bk"/>
          <w:color w:val="FF0000"/>
          <w:sz w:val="20"/>
          <w:szCs w:val="20"/>
        </w:rPr>
        <w:t>Family caregivers need to recognize when they need help, including (1) what kind of help, (2) how to ask for help, (3) and whom to ask (Pierce &amp; Lutz, 2009). Alternative transportation such as bus or train might be considered. Neighbors or friends or church members and /or family members who live nearby could help to provide transportation</w:t>
      </w:r>
      <w:r w:rsidR="00A216CD" w:rsidRPr="00A216CD">
        <w:rPr>
          <w:rFonts w:ascii="ITCGaramondStd-Bk" w:hAnsi="ITCGaramondStd-Bk" w:cs="ITCGaramondStd-Bk"/>
          <w:sz w:val="20"/>
          <w:szCs w:val="20"/>
        </w:rPr>
        <w:t>.</w:t>
      </w:r>
    </w:p>
    <w:p w:rsidR="00A216CD" w:rsidRDefault="00A216CD" w:rsidP="00A216CD">
      <w:pPr>
        <w:autoSpaceDE w:val="0"/>
        <w:autoSpaceDN w:val="0"/>
        <w:adjustRightInd w:val="0"/>
        <w:spacing w:after="0" w:line="240" w:lineRule="auto"/>
      </w:pPr>
    </w:p>
    <w:p w:rsidR="00A216CD" w:rsidRPr="00A216CD" w:rsidRDefault="00034C79" w:rsidP="00A216CD">
      <w:pPr>
        <w:pStyle w:val="ListParagraph"/>
        <w:numPr>
          <w:ilvl w:val="0"/>
          <w:numId w:val="5"/>
        </w:numPr>
        <w:autoSpaceDE w:val="0"/>
        <w:autoSpaceDN w:val="0"/>
        <w:adjustRightInd w:val="0"/>
        <w:spacing w:after="0" w:line="240" w:lineRule="auto"/>
        <w:rPr>
          <w:rFonts w:ascii="ITCGaramondStd-Bk" w:hAnsi="ITCGaramondStd-Bk" w:cs="ITCGaramondStd-Bk"/>
          <w:color w:val="FF0000"/>
          <w:sz w:val="20"/>
          <w:szCs w:val="20"/>
        </w:rPr>
      </w:pPr>
      <w:r>
        <w:t xml:space="preserve">Some other ideas to keep older adults connected to others in time of emergencies would be the use of an alerting device that one can wear as a necklace or wristband, where it can be easily reached and a button easily pressed to ask for assistance. </w:t>
      </w:r>
      <w:r w:rsidR="00A216CD">
        <w:t xml:space="preserve">  </w:t>
      </w:r>
      <w:r w:rsidR="00A216CD" w:rsidRPr="00A216CD">
        <w:rPr>
          <w:rFonts w:ascii="ITCGaramondStd-Bk" w:hAnsi="ITCGaramondStd-Bk" w:cs="ITCGaramondStd-Bk"/>
          <w:color w:val="FF0000"/>
          <w:sz w:val="20"/>
          <w:szCs w:val="20"/>
        </w:rPr>
        <w:t>Support systems to keep caregivers connected for unexpected occurrences need to be in place (Pierce &amp; Lutz, 2009). Church member, friends, local relatives,</w:t>
      </w:r>
    </w:p>
    <w:p w:rsidR="00034C79" w:rsidRDefault="00A216CD" w:rsidP="00A216CD">
      <w:pPr>
        <w:autoSpaceDE w:val="0"/>
        <w:autoSpaceDN w:val="0"/>
        <w:adjustRightInd w:val="0"/>
        <w:spacing w:after="0" w:line="240" w:lineRule="auto"/>
        <w:rPr>
          <w:rFonts w:ascii="ITCGaramondStd-Bk" w:hAnsi="ITCGaramondStd-Bk" w:cs="ITCGaramondStd-Bk"/>
          <w:sz w:val="20"/>
          <w:szCs w:val="20"/>
        </w:rPr>
      </w:pPr>
      <w:proofErr w:type="gramStart"/>
      <w:r w:rsidRPr="00A216CD">
        <w:rPr>
          <w:rFonts w:ascii="ITCGaramondStd-Bk" w:hAnsi="ITCGaramondStd-Bk" w:cs="ITCGaramondStd-Bk"/>
          <w:color w:val="FF0000"/>
          <w:sz w:val="20"/>
          <w:szCs w:val="20"/>
        </w:rPr>
        <w:t>and/or</w:t>
      </w:r>
      <w:proofErr w:type="gramEnd"/>
      <w:r w:rsidRPr="00A216CD">
        <w:rPr>
          <w:rFonts w:ascii="ITCGaramondStd-Bk" w:hAnsi="ITCGaramondStd-Bk" w:cs="ITCGaramondStd-Bk"/>
          <w:color w:val="FF0000"/>
          <w:sz w:val="20"/>
          <w:szCs w:val="20"/>
        </w:rPr>
        <w:t xml:space="preserve"> neighbors could take turns to check on older adults every day by telephoning or stopping by the home. Affordable wireless systems that are worn as a pendant, necklace, or wrist band connecting the person with the push of a button to fire and health care services provide a level of comfort in knowing that help is available (Pierce &amp; Steiner, 2010)</w:t>
      </w:r>
      <w:r>
        <w:rPr>
          <w:rFonts w:ascii="ITCGaramondStd-Bk" w:hAnsi="ITCGaramondStd-Bk" w:cs="ITCGaramondStd-Bk"/>
          <w:sz w:val="20"/>
          <w:szCs w:val="20"/>
        </w:rPr>
        <w:t>.</w:t>
      </w:r>
    </w:p>
    <w:p w:rsidR="00A216CD" w:rsidRDefault="00A216CD" w:rsidP="00A216CD">
      <w:pPr>
        <w:autoSpaceDE w:val="0"/>
        <w:autoSpaceDN w:val="0"/>
        <w:adjustRightInd w:val="0"/>
        <w:spacing w:after="0" w:line="240" w:lineRule="auto"/>
      </w:pPr>
    </w:p>
    <w:p w:rsidR="00034C79" w:rsidRDefault="00034C79" w:rsidP="00A216CD">
      <w:pPr>
        <w:pStyle w:val="ListParagraph"/>
        <w:numPr>
          <w:ilvl w:val="0"/>
          <w:numId w:val="5"/>
        </w:numPr>
        <w:spacing w:line="480" w:lineRule="auto"/>
      </w:pPr>
      <w:r>
        <w:t xml:space="preserve">Some suggestions to remedy these factors are to clean out the clutter or move to a smaller living space, secure loose carpeting and cover slippery flooring with secured area rugs or carpeting. She can also put in more lamps or open windows if that works best for her. I would also suggest that she get her handrails tightened and stairs fixed as soon as she is </w:t>
      </w:r>
      <w:proofErr w:type="gramStart"/>
      <w:r>
        <w:t>able</w:t>
      </w:r>
      <w:proofErr w:type="gramEnd"/>
      <w:r>
        <w:t>, or consider living on the first level of her home.</w:t>
      </w:r>
    </w:p>
    <w:p w:rsidR="00A216CD" w:rsidRPr="00A216CD" w:rsidRDefault="00034C79" w:rsidP="00A216CD">
      <w:pPr>
        <w:pStyle w:val="ListParagraph"/>
        <w:numPr>
          <w:ilvl w:val="0"/>
          <w:numId w:val="5"/>
        </w:numPr>
        <w:autoSpaceDE w:val="0"/>
        <w:autoSpaceDN w:val="0"/>
        <w:adjustRightInd w:val="0"/>
        <w:spacing w:after="0" w:line="240" w:lineRule="auto"/>
        <w:rPr>
          <w:rFonts w:ascii="ITCGaramondStd-Bk" w:hAnsi="ITCGaramondStd-Bk" w:cs="ITCGaramondStd-Bk"/>
          <w:color w:val="FF0000"/>
          <w:sz w:val="20"/>
          <w:szCs w:val="20"/>
        </w:rPr>
      </w:pPr>
      <w:r>
        <w:t xml:space="preserve">Another example of an environmental factor that can be a cause of falls is weather. If there is rain, Mary can make sure that she keeps her hall floors and stairways dry if </w:t>
      </w:r>
      <w:r>
        <w:lastRenderedPageBreak/>
        <w:t xml:space="preserve">coming in from bad weather. If there is snow, she can make sure to keep walkways shoveled and salted to prevent slipping and falling in ice and water. </w:t>
      </w:r>
      <w:r w:rsidR="00A216CD">
        <w:t xml:space="preserve"> </w:t>
      </w:r>
      <w:r w:rsidR="00A216CD" w:rsidRPr="00A216CD">
        <w:rPr>
          <w:rFonts w:ascii="ITCGaramondStd-Bk" w:hAnsi="ITCGaramondStd-Bk" w:cs="ITCGaramondStd-Bk"/>
          <w:color w:val="FF0000"/>
          <w:sz w:val="20"/>
          <w:szCs w:val="20"/>
        </w:rPr>
        <w:t>Other examples of environmental factors that cause falls and how they might be modified in order to prevent falls include the following: (1) Hazardous bathrooms—</w:t>
      </w:r>
    </w:p>
    <w:p w:rsidR="00A216CD" w:rsidRPr="00A216CD" w:rsidRDefault="00A216CD" w:rsidP="00A216CD">
      <w:pPr>
        <w:autoSpaceDE w:val="0"/>
        <w:autoSpaceDN w:val="0"/>
        <w:adjustRightInd w:val="0"/>
        <w:spacing w:after="0" w:line="240" w:lineRule="auto"/>
        <w:rPr>
          <w:rFonts w:ascii="ITCGaramondStd-Bk" w:hAnsi="ITCGaramondStd-Bk" w:cs="ITCGaramondStd-Bk"/>
          <w:color w:val="FF0000"/>
          <w:sz w:val="20"/>
          <w:szCs w:val="20"/>
        </w:rPr>
      </w:pPr>
      <w:r w:rsidRPr="00A216CD">
        <w:rPr>
          <w:rFonts w:ascii="ITCGaramondStd-Bk" w:hAnsi="ITCGaramondStd-Bk" w:cs="ITCGaramondStd-Bk"/>
          <w:color w:val="FF0000"/>
          <w:sz w:val="20"/>
          <w:szCs w:val="20"/>
        </w:rPr>
        <w:t>install grab bars in bathtub or shower and by toilet, use rubber mats in tub or shower and take up when not in use, install raised toilet seat; (2) Unsteady furniture—repair chairs and sofas that are not sturdy and secure. Furniture needs to be not too low or too deep to get in and out of easily, and it needs to have full arms to aid in sitting or rising. Make sure that furniture, which might be used for support when walking or rising, does not tilt. Be sure that there is enough space to walk through the room leaving clear passageways for traffic; (3) Rambunctious</w:t>
      </w:r>
    </w:p>
    <w:p w:rsidR="00034C79" w:rsidRPr="00A216CD" w:rsidRDefault="00A216CD" w:rsidP="00A216CD">
      <w:pPr>
        <w:autoSpaceDE w:val="0"/>
        <w:autoSpaceDN w:val="0"/>
        <w:adjustRightInd w:val="0"/>
        <w:spacing w:after="0" w:line="240" w:lineRule="auto"/>
        <w:rPr>
          <w:rFonts w:ascii="ITCGaramondStd-Bk" w:hAnsi="ITCGaramondStd-Bk" w:cs="ITCGaramondStd-Bk"/>
          <w:color w:val="FF0000"/>
          <w:sz w:val="20"/>
          <w:szCs w:val="20"/>
        </w:rPr>
      </w:pPr>
      <w:proofErr w:type="gramStart"/>
      <w:r w:rsidRPr="00A216CD">
        <w:rPr>
          <w:rFonts w:ascii="ITCGaramondStd-Bk" w:hAnsi="ITCGaramondStd-Bk" w:cs="ITCGaramondStd-Bk"/>
          <w:color w:val="FF0000"/>
          <w:sz w:val="20"/>
          <w:szCs w:val="20"/>
        </w:rPr>
        <w:t>pets—</w:t>
      </w:r>
      <w:proofErr w:type="gramEnd"/>
      <w:r w:rsidRPr="00A216CD">
        <w:rPr>
          <w:rFonts w:ascii="ITCGaramondStd-Bk" w:hAnsi="ITCGaramondStd-Bk" w:cs="ITCGaramondStd-Bk"/>
          <w:color w:val="FF0000"/>
          <w:sz w:val="20"/>
          <w:szCs w:val="20"/>
        </w:rPr>
        <w:t>in order to prevent tripping over a cat, small dog, or other pet keep them in one place at night or use night—lights so you can see where they are. Train your pets not to jump or get underfoot; (4) Unsafe footwear-suggest that people wear low-heeled shoes that fit well and give the feet good support. Use footwear with nonskid soles. Check the heels and soles of the shoes for wear and repair or replace worn heels or soles (Diebold et al., 2010; WebMD, 2010b).</w:t>
      </w:r>
    </w:p>
    <w:p w:rsidR="00A216CD" w:rsidRDefault="00A216CD" w:rsidP="00A216CD">
      <w:pPr>
        <w:autoSpaceDE w:val="0"/>
        <w:autoSpaceDN w:val="0"/>
        <w:adjustRightInd w:val="0"/>
        <w:spacing w:after="0" w:line="240" w:lineRule="auto"/>
      </w:pPr>
    </w:p>
    <w:p w:rsidR="00034C79" w:rsidRDefault="00034C79" w:rsidP="00A216CD">
      <w:pPr>
        <w:pStyle w:val="ListParagraph"/>
        <w:numPr>
          <w:ilvl w:val="0"/>
          <w:numId w:val="5"/>
        </w:numPr>
        <w:spacing w:line="480" w:lineRule="auto"/>
      </w:pPr>
      <w:r>
        <w:t xml:space="preserve">According to </w:t>
      </w:r>
      <w:commentRangeStart w:id="1"/>
      <w:r w:rsidRPr="00A216CD">
        <w:rPr>
          <w:color w:val="FF0000"/>
        </w:rPr>
        <w:t>Falls Prevention</w:t>
      </w:r>
      <w:r w:rsidR="00EF4F4F">
        <w:rPr>
          <w:color w:val="FF0000"/>
        </w:rPr>
        <w:t xml:space="preserve"> </w:t>
      </w:r>
      <w:r w:rsidR="00A216CD">
        <w:rPr>
          <w:color w:val="FF0000"/>
        </w:rPr>
        <w:t>(2009</w:t>
      </w:r>
      <w:proofErr w:type="gramStart"/>
      <w:r w:rsidR="00A216CD">
        <w:rPr>
          <w:color w:val="FF0000"/>
        </w:rPr>
        <w:t>)</w:t>
      </w:r>
      <w:r w:rsidR="00A216CD">
        <w:rPr>
          <w:i/>
        </w:rPr>
        <w:t xml:space="preserve"> </w:t>
      </w:r>
      <w:r>
        <w:t>,</w:t>
      </w:r>
      <w:proofErr w:type="gramEnd"/>
      <w:r>
        <w:t xml:space="preserve"> </w:t>
      </w:r>
      <w:commentRangeEnd w:id="1"/>
      <w:r w:rsidR="00EF4F4F">
        <w:rPr>
          <w:rStyle w:val="CommentReference"/>
        </w:rPr>
        <w:commentReference w:id="1"/>
      </w:r>
      <w:r>
        <w:t xml:space="preserve">if someone has had a fall and they cannot get up then they should make noise and attract attention and if they have a pendant alarm, then they should use that and ask for help, they should then get comfortable, keep warm and keep moving if they can. If someone has had a fall and they can get up then they should start by easing up on their elbows, then their hands and knees. They should grab on to a firm surface and support themselves as they ease their way up. Once up they should gently turn around and ease themselves into a sitting position. </w:t>
      </w:r>
    </w:p>
    <w:p w:rsidR="00034C79" w:rsidRDefault="00034C79" w:rsidP="00034C79">
      <w:pPr>
        <w:spacing w:line="480" w:lineRule="auto"/>
        <w:jc w:val="center"/>
      </w:pPr>
      <w:r>
        <w:t>References</w:t>
      </w:r>
    </w:p>
    <w:p w:rsidR="00034C79" w:rsidRDefault="00034C79" w:rsidP="00034C79">
      <w:pPr>
        <w:spacing w:line="480" w:lineRule="auto"/>
        <w:ind w:left="720" w:hanging="720"/>
      </w:pPr>
      <w:proofErr w:type="gramStart"/>
      <w:r>
        <w:t xml:space="preserve">Falls </w:t>
      </w:r>
      <w:commentRangeStart w:id="2"/>
      <w:r>
        <w:t>prevention</w:t>
      </w:r>
      <w:commentRangeEnd w:id="2"/>
      <w:r w:rsidR="00EF4F4F">
        <w:rPr>
          <w:rStyle w:val="CommentReference"/>
        </w:rPr>
        <w:commentReference w:id="2"/>
      </w:r>
      <w:r>
        <w:t>.</w:t>
      </w:r>
      <w:proofErr w:type="gramEnd"/>
      <w:r>
        <w:t xml:space="preserve"> </w:t>
      </w:r>
      <w:proofErr w:type="gramStart"/>
      <w:r>
        <w:t xml:space="preserve">(2009). Retrieved from </w:t>
      </w:r>
      <w:hyperlink r:id="rId10" w:history="1">
        <w:r>
          <w:rPr>
            <w:rStyle w:val="Hyperlink"/>
          </w:rPr>
          <w:t>http://www.bhps.org.uk/falls/hadafall.htm</w:t>
        </w:r>
      </w:hyperlink>
      <w:r>
        <w:t>.</w:t>
      </w:r>
      <w:proofErr w:type="gramEnd"/>
    </w:p>
    <w:p w:rsidR="00034C79" w:rsidRPr="00213529" w:rsidRDefault="00034C79" w:rsidP="00034C79">
      <w:pPr>
        <w:spacing w:line="480" w:lineRule="auto"/>
        <w:ind w:left="720" w:hanging="720"/>
      </w:pPr>
      <w:proofErr w:type="spellStart"/>
      <w:r>
        <w:t>PubMed</w:t>
      </w:r>
      <w:proofErr w:type="spellEnd"/>
      <w:r>
        <w:t xml:space="preserve"> Health. </w:t>
      </w:r>
      <w:proofErr w:type="gramStart"/>
      <w:r>
        <w:t xml:space="preserve">(2012). Retrieved from </w:t>
      </w:r>
      <w:hyperlink r:id="rId11" w:anchor="a696016-sideEffects" w:history="1">
        <w:r>
          <w:rPr>
            <w:rStyle w:val="Hyperlink"/>
          </w:rPr>
          <w:t>http://www.ncbi.nlm.nih.gov/pubmedhealth/PMH0000981/#a696016-sideEffects</w:t>
        </w:r>
      </w:hyperlink>
      <w:r>
        <w:t>.</w:t>
      </w:r>
      <w:proofErr w:type="gramEnd"/>
    </w:p>
    <w:sectPr w:rsidR="00034C79" w:rsidRPr="00213529" w:rsidSect="00213529">
      <w:headerReference w:type="default" r:id="rId12"/>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21T16:50:00Z" w:initials="M">
    <w:p w:rsidR="00EF4F4F" w:rsidRDefault="00EF4F4F">
      <w:pPr>
        <w:pStyle w:val="CommentText"/>
      </w:pPr>
      <w:r>
        <w:rPr>
          <w:rStyle w:val="CommentReference"/>
        </w:rPr>
        <w:annotationRef/>
      </w:r>
      <w:r>
        <w:t xml:space="preserve">What was the name of the page or </w:t>
      </w:r>
      <w:proofErr w:type="spellStart"/>
      <w:r>
        <w:t>author.organization</w:t>
      </w:r>
      <w:proofErr w:type="spellEnd"/>
      <w:r>
        <w:t xml:space="preserve"> you were looking at?</w:t>
      </w:r>
    </w:p>
  </w:comment>
  <w:comment w:id="1" w:author="Mary" w:date="2012-06-21T16:49:00Z" w:initials="M">
    <w:p w:rsidR="00EF4F4F" w:rsidRDefault="00EF4F4F">
      <w:pPr>
        <w:pStyle w:val="CommentText"/>
      </w:pPr>
      <w:r>
        <w:rPr>
          <w:rStyle w:val="CommentReference"/>
        </w:rPr>
        <w:annotationRef/>
      </w:r>
      <w:r>
        <w:t>Use organization</w:t>
      </w:r>
    </w:p>
  </w:comment>
  <w:comment w:id="2" w:author="Mary" w:date="2012-06-21T16:48:00Z" w:initials="M">
    <w:p w:rsidR="00EF4F4F" w:rsidRDefault="00EF4F4F">
      <w:pPr>
        <w:pStyle w:val="CommentText"/>
      </w:pPr>
      <w:r>
        <w:rPr>
          <w:rStyle w:val="CommentReference"/>
        </w:rPr>
        <w:annotationRef/>
      </w:r>
      <w:r>
        <w:t>Really should have used the organization as the author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003" w:rsidRDefault="00935003" w:rsidP="00213529">
      <w:pPr>
        <w:spacing w:after="0" w:line="240" w:lineRule="auto"/>
      </w:pPr>
      <w:r>
        <w:separator/>
      </w:r>
    </w:p>
  </w:endnote>
  <w:endnote w:type="continuationSeparator" w:id="0">
    <w:p w:rsidR="00935003" w:rsidRDefault="00935003" w:rsidP="002135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w:altName w:val="Lucid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003" w:rsidRDefault="00935003" w:rsidP="00213529">
      <w:pPr>
        <w:spacing w:after="0" w:line="240" w:lineRule="auto"/>
      </w:pPr>
      <w:r>
        <w:separator/>
      </w:r>
    </w:p>
  </w:footnote>
  <w:footnote w:type="continuationSeparator" w:id="0">
    <w:p w:rsidR="00935003" w:rsidRDefault="00935003" w:rsidP="002135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A27" w:rsidRDefault="00C90A27">
    <w:pPr>
      <w:pStyle w:val="Header"/>
      <w:jc w:val="right"/>
    </w:pPr>
    <w:r>
      <w:t xml:space="preserve">CASE STUDY </w:t>
    </w:r>
    <w:proofErr w:type="gramStart"/>
    <w:r>
      <w:t xml:space="preserve">9.2  </w:t>
    </w:r>
    <w:r w:rsidR="00034C79">
      <w:t>&amp;</w:t>
    </w:r>
    <w:proofErr w:type="gramEnd"/>
    <w:r w:rsidR="00034C79">
      <w:t xml:space="preserve"> 9.3</w:t>
    </w:r>
    <w:r>
      <w:t xml:space="preserve">                                                                                          </w:t>
    </w:r>
    <w:r w:rsidR="00034C79">
      <w:t xml:space="preserve">                      </w:t>
    </w:r>
    <w:sdt>
      <w:sdtPr>
        <w:id w:val="16563006"/>
        <w:docPartObj>
          <w:docPartGallery w:val="Page Numbers (Top of Page)"/>
          <w:docPartUnique/>
        </w:docPartObj>
      </w:sdtPr>
      <w:sdtContent>
        <w:fldSimple w:instr=" PAGE   \* MERGEFORMAT ">
          <w:r w:rsidR="00EF4F4F">
            <w:rPr>
              <w:noProof/>
            </w:rPr>
            <w:t>2</w:t>
          </w:r>
        </w:fldSimple>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A27" w:rsidRDefault="00C90A27">
    <w:pPr>
      <w:pStyle w:val="Header"/>
      <w:jc w:val="right"/>
    </w:pPr>
    <w:r>
      <w:t xml:space="preserve">Running head: CASE STUDY 9.2 </w:t>
    </w:r>
    <w:r w:rsidR="00034C79">
      <w:t>&amp; 9.3</w:t>
    </w:r>
    <w:r>
      <w:t xml:space="preserve">                                                           </w:t>
    </w:r>
    <w:r w:rsidR="00034C79">
      <w:t xml:space="preserve">                             </w:t>
    </w:r>
    <w:sdt>
      <w:sdtPr>
        <w:id w:val="16563007"/>
        <w:docPartObj>
          <w:docPartGallery w:val="Page Numbers (Top of Page)"/>
          <w:docPartUnique/>
        </w:docPartObj>
      </w:sdtPr>
      <w:sdtContent>
        <w:fldSimple w:instr=" PAGE   \* MERGEFORMAT ">
          <w:r w:rsidR="0097347B">
            <w:rPr>
              <w:noProof/>
            </w:rPr>
            <w:t>1</w:t>
          </w:r>
        </w:fldSimple>
      </w:sdtContent>
    </w:sdt>
  </w:p>
  <w:p w:rsidR="00C90A27" w:rsidRDefault="00C90A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C27FC"/>
    <w:multiLevelType w:val="hybridMultilevel"/>
    <w:tmpl w:val="3CC49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153FB"/>
    <w:multiLevelType w:val="hybridMultilevel"/>
    <w:tmpl w:val="AA04E778"/>
    <w:lvl w:ilvl="0" w:tplc="4816F474">
      <w:start w:val="8"/>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E054ECE"/>
    <w:multiLevelType w:val="hybridMultilevel"/>
    <w:tmpl w:val="D1B8339A"/>
    <w:lvl w:ilvl="0" w:tplc="7C2C360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053025"/>
    <w:multiLevelType w:val="hybridMultilevel"/>
    <w:tmpl w:val="F24E3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EF2960"/>
    <w:multiLevelType w:val="hybridMultilevel"/>
    <w:tmpl w:val="A87896F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CFC6AF5"/>
    <w:multiLevelType w:val="hybridMultilevel"/>
    <w:tmpl w:val="F1B66E70"/>
    <w:lvl w:ilvl="0" w:tplc="C7B617C2">
      <w:start w:val="4"/>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467F36A5"/>
    <w:multiLevelType w:val="hybridMultilevel"/>
    <w:tmpl w:val="F1B66E70"/>
    <w:lvl w:ilvl="0" w:tplc="C7B617C2">
      <w:start w:val="4"/>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4ABA07C2"/>
    <w:multiLevelType w:val="hybridMultilevel"/>
    <w:tmpl w:val="F24E3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080877"/>
    <w:multiLevelType w:val="hybridMultilevel"/>
    <w:tmpl w:val="F1B66E70"/>
    <w:lvl w:ilvl="0" w:tplc="C7B617C2">
      <w:start w:val="4"/>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501C0F5A"/>
    <w:multiLevelType w:val="hybridMultilevel"/>
    <w:tmpl w:val="F24E3B7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52234FAD"/>
    <w:multiLevelType w:val="hybridMultilevel"/>
    <w:tmpl w:val="A8789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FD0DC8"/>
    <w:multiLevelType w:val="hybridMultilevel"/>
    <w:tmpl w:val="F24E3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B5389B"/>
    <w:multiLevelType w:val="hybridMultilevel"/>
    <w:tmpl w:val="F1B66E70"/>
    <w:lvl w:ilvl="0" w:tplc="C7B617C2">
      <w:start w:val="4"/>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5BA04008"/>
    <w:multiLevelType w:val="hybridMultilevel"/>
    <w:tmpl w:val="AA04E778"/>
    <w:lvl w:ilvl="0" w:tplc="4816F474">
      <w:start w:val="8"/>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5C086D74"/>
    <w:multiLevelType w:val="hybridMultilevel"/>
    <w:tmpl w:val="F24E3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766CA8"/>
    <w:multiLevelType w:val="hybridMultilevel"/>
    <w:tmpl w:val="2D06C36E"/>
    <w:lvl w:ilvl="0" w:tplc="7C2C3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272FC4"/>
    <w:multiLevelType w:val="hybridMultilevel"/>
    <w:tmpl w:val="90080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5"/>
  </w:num>
  <w:num w:numId="4">
    <w:abstractNumId w:val="2"/>
  </w:num>
  <w:num w:numId="5">
    <w:abstractNumId w:val="11"/>
  </w:num>
  <w:num w:numId="6">
    <w:abstractNumId w:val="10"/>
  </w:num>
  <w:num w:numId="7">
    <w:abstractNumId w:val="9"/>
  </w:num>
  <w:num w:numId="8">
    <w:abstractNumId w:val="5"/>
  </w:num>
  <w:num w:numId="9">
    <w:abstractNumId w:val="12"/>
  </w:num>
  <w:num w:numId="10">
    <w:abstractNumId w:val="8"/>
  </w:num>
  <w:num w:numId="11">
    <w:abstractNumId w:val="6"/>
  </w:num>
  <w:num w:numId="12">
    <w:abstractNumId w:val="1"/>
  </w:num>
  <w:num w:numId="13">
    <w:abstractNumId w:val="13"/>
  </w:num>
  <w:num w:numId="14">
    <w:abstractNumId w:val="4"/>
  </w:num>
  <w:num w:numId="15">
    <w:abstractNumId w:val="3"/>
  </w:num>
  <w:num w:numId="16">
    <w:abstractNumId w:val="14"/>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213529"/>
    <w:rsid w:val="000063AA"/>
    <w:rsid w:val="00032354"/>
    <w:rsid w:val="000349C2"/>
    <w:rsid w:val="00034C79"/>
    <w:rsid w:val="00052DDF"/>
    <w:rsid w:val="00126CA8"/>
    <w:rsid w:val="0016481F"/>
    <w:rsid w:val="0019296C"/>
    <w:rsid w:val="001B2732"/>
    <w:rsid w:val="00213529"/>
    <w:rsid w:val="00217141"/>
    <w:rsid w:val="00241E45"/>
    <w:rsid w:val="00266561"/>
    <w:rsid w:val="0028449D"/>
    <w:rsid w:val="00285588"/>
    <w:rsid w:val="002B49BF"/>
    <w:rsid w:val="003415EA"/>
    <w:rsid w:val="0035253B"/>
    <w:rsid w:val="003C2AFF"/>
    <w:rsid w:val="0045160A"/>
    <w:rsid w:val="004A7D06"/>
    <w:rsid w:val="004C660C"/>
    <w:rsid w:val="005138D5"/>
    <w:rsid w:val="00534574"/>
    <w:rsid w:val="0056502E"/>
    <w:rsid w:val="005E0E79"/>
    <w:rsid w:val="005E4B4F"/>
    <w:rsid w:val="005F235D"/>
    <w:rsid w:val="006A0F66"/>
    <w:rsid w:val="00732E88"/>
    <w:rsid w:val="007740EA"/>
    <w:rsid w:val="00776B18"/>
    <w:rsid w:val="00826ED4"/>
    <w:rsid w:val="00832D52"/>
    <w:rsid w:val="0085308D"/>
    <w:rsid w:val="008B0ED0"/>
    <w:rsid w:val="008E38B5"/>
    <w:rsid w:val="00935003"/>
    <w:rsid w:val="0097347B"/>
    <w:rsid w:val="009B647F"/>
    <w:rsid w:val="00A165D1"/>
    <w:rsid w:val="00A216CD"/>
    <w:rsid w:val="00A27296"/>
    <w:rsid w:val="00A905DC"/>
    <w:rsid w:val="00A9745D"/>
    <w:rsid w:val="00AD71A7"/>
    <w:rsid w:val="00B4404B"/>
    <w:rsid w:val="00B7699B"/>
    <w:rsid w:val="00BE6A4C"/>
    <w:rsid w:val="00C32D16"/>
    <w:rsid w:val="00C90A27"/>
    <w:rsid w:val="00CA063C"/>
    <w:rsid w:val="00D66E1F"/>
    <w:rsid w:val="00DA7F64"/>
    <w:rsid w:val="00E14FF7"/>
    <w:rsid w:val="00E64504"/>
    <w:rsid w:val="00E92232"/>
    <w:rsid w:val="00EF4F4F"/>
    <w:rsid w:val="00F021DF"/>
    <w:rsid w:val="00F41677"/>
    <w:rsid w:val="00F448F7"/>
    <w:rsid w:val="00F66DF4"/>
    <w:rsid w:val="00F73C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9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529"/>
  </w:style>
  <w:style w:type="paragraph" w:styleId="Footer">
    <w:name w:val="footer"/>
    <w:basedOn w:val="Normal"/>
    <w:link w:val="FooterChar"/>
    <w:uiPriority w:val="99"/>
    <w:semiHidden/>
    <w:unhideWhenUsed/>
    <w:rsid w:val="002135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3529"/>
  </w:style>
  <w:style w:type="paragraph" w:styleId="ListParagraph">
    <w:name w:val="List Paragraph"/>
    <w:basedOn w:val="Normal"/>
    <w:uiPriority w:val="34"/>
    <w:qFormat/>
    <w:rsid w:val="008B0ED0"/>
    <w:pPr>
      <w:ind w:left="720"/>
      <w:contextualSpacing/>
    </w:pPr>
  </w:style>
  <w:style w:type="paragraph" w:customStyle="1" w:styleId="Default">
    <w:name w:val="Default"/>
    <w:rsid w:val="00AD71A7"/>
    <w:pPr>
      <w:autoSpaceDE w:val="0"/>
      <w:autoSpaceDN w:val="0"/>
      <w:adjustRightInd w:val="0"/>
      <w:spacing w:after="0" w:line="240" w:lineRule="auto"/>
    </w:pPr>
    <w:rPr>
      <w:rFonts w:ascii="Lucida" w:hAnsi="Lucida" w:cs="Lucida"/>
      <w:color w:val="000000"/>
    </w:rPr>
  </w:style>
  <w:style w:type="character" w:styleId="Hyperlink">
    <w:name w:val="Hyperlink"/>
    <w:basedOn w:val="DefaultParagraphFont"/>
    <w:uiPriority w:val="99"/>
    <w:unhideWhenUsed/>
    <w:rsid w:val="00D66E1F"/>
    <w:rPr>
      <w:color w:val="0000FF" w:themeColor="hyperlink"/>
      <w:u w:val="single"/>
    </w:rPr>
  </w:style>
  <w:style w:type="character" w:styleId="FollowedHyperlink">
    <w:name w:val="FollowedHyperlink"/>
    <w:basedOn w:val="DefaultParagraphFont"/>
    <w:uiPriority w:val="99"/>
    <w:semiHidden/>
    <w:unhideWhenUsed/>
    <w:rsid w:val="00126CA8"/>
    <w:rPr>
      <w:color w:val="800080" w:themeColor="followedHyperlink"/>
      <w:u w:val="single"/>
    </w:rPr>
  </w:style>
  <w:style w:type="character" w:styleId="CommentReference">
    <w:name w:val="annotation reference"/>
    <w:basedOn w:val="DefaultParagraphFont"/>
    <w:uiPriority w:val="99"/>
    <w:semiHidden/>
    <w:unhideWhenUsed/>
    <w:rsid w:val="00EF4F4F"/>
    <w:rPr>
      <w:sz w:val="16"/>
      <w:szCs w:val="16"/>
    </w:rPr>
  </w:style>
  <w:style w:type="paragraph" w:styleId="CommentText">
    <w:name w:val="annotation text"/>
    <w:basedOn w:val="Normal"/>
    <w:link w:val="CommentTextChar"/>
    <w:uiPriority w:val="99"/>
    <w:semiHidden/>
    <w:unhideWhenUsed/>
    <w:rsid w:val="00EF4F4F"/>
    <w:pPr>
      <w:spacing w:line="240" w:lineRule="auto"/>
    </w:pPr>
    <w:rPr>
      <w:sz w:val="20"/>
      <w:szCs w:val="20"/>
    </w:rPr>
  </w:style>
  <w:style w:type="character" w:customStyle="1" w:styleId="CommentTextChar">
    <w:name w:val="Comment Text Char"/>
    <w:basedOn w:val="DefaultParagraphFont"/>
    <w:link w:val="CommentText"/>
    <w:uiPriority w:val="99"/>
    <w:semiHidden/>
    <w:rsid w:val="00EF4F4F"/>
    <w:rPr>
      <w:sz w:val="20"/>
      <w:szCs w:val="20"/>
    </w:rPr>
  </w:style>
  <w:style w:type="paragraph" w:styleId="CommentSubject">
    <w:name w:val="annotation subject"/>
    <w:basedOn w:val="CommentText"/>
    <w:next w:val="CommentText"/>
    <w:link w:val="CommentSubjectChar"/>
    <w:uiPriority w:val="99"/>
    <w:semiHidden/>
    <w:unhideWhenUsed/>
    <w:rsid w:val="00EF4F4F"/>
    <w:rPr>
      <w:b/>
      <w:bCs/>
    </w:rPr>
  </w:style>
  <w:style w:type="character" w:customStyle="1" w:styleId="CommentSubjectChar">
    <w:name w:val="Comment Subject Char"/>
    <w:basedOn w:val="CommentTextChar"/>
    <w:link w:val="CommentSubject"/>
    <w:uiPriority w:val="99"/>
    <w:semiHidden/>
    <w:rsid w:val="00EF4F4F"/>
    <w:rPr>
      <w:b/>
      <w:bCs/>
    </w:rPr>
  </w:style>
  <w:style w:type="paragraph" w:styleId="BalloonText">
    <w:name w:val="Balloon Text"/>
    <w:basedOn w:val="Normal"/>
    <w:link w:val="BalloonTextChar"/>
    <w:uiPriority w:val="99"/>
    <w:semiHidden/>
    <w:unhideWhenUsed/>
    <w:rsid w:val="00EF4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F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thecochranelibrary.com/userfiles/ccoch/file/CD000168.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health/PMH000098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hps.org.uk/falls/hadafall.htm" TargetMode="External"/><Relationship Id="rId4" Type="http://schemas.openxmlformats.org/officeDocument/2006/relationships/webSettings" Target="webSettings.xml"/><Relationship Id="rId9" Type="http://schemas.openxmlformats.org/officeDocument/2006/relationships/hyperlink" Target="http://www.ncbi.nlm.nih.gov/pubmedhealth/PMH000098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1728</Words>
  <Characters>9856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dc:creator>
  <cp:lastModifiedBy>Mary</cp:lastModifiedBy>
  <cp:revision>2</cp:revision>
  <dcterms:created xsi:type="dcterms:W3CDTF">2012-06-21T21:58:00Z</dcterms:created>
  <dcterms:modified xsi:type="dcterms:W3CDTF">2012-06-21T21:58:00Z</dcterms:modified>
</cp:coreProperties>
</file>