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Default="007439C3" w:rsidP="00E063CC">
      <w:pPr>
        <w:pStyle w:val="APA"/>
      </w:pPr>
    </w:p>
    <w:p w:rsidR="00E063CC" w:rsidRDefault="00E063CC" w:rsidP="00E063CC">
      <w:pPr>
        <w:pStyle w:val="APA"/>
      </w:pPr>
    </w:p>
    <w:p w:rsidR="00E063CC" w:rsidRDefault="00E063CC" w:rsidP="00E063CC">
      <w:pPr>
        <w:pStyle w:val="APA"/>
      </w:pPr>
    </w:p>
    <w:p w:rsidR="00E063CC" w:rsidRPr="00AD0E3C" w:rsidRDefault="00AD0E3C" w:rsidP="00E063CC">
      <w:pPr>
        <w:pStyle w:val="APA"/>
        <w:rPr>
          <w:color w:val="FF0000"/>
        </w:rPr>
      </w:pPr>
      <w:r w:rsidRPr="00AD0E3C">
        <w:rPr>
          <w:color w:val="FF0000"/>
        </w:rPr>
        <w:t xml:space="preserve">13/15 </w:t>
      </w:r>
      <w:proofErr w:type="gramStart"/>
      <w:r w:rsidRPr="00AD0E3C">
        <w:rPr>
          <w:color w:val="FF0000"/>
        </w:rPr>
        <w:t>see</w:t>
      </w:r>
      <w:proofErr w:type="gramEnd"/>
      <w:r w:rsidRPr="00AD0E3C">
        <w:rPr>
          <w:color w:val="FF0000"/>
        </w:rPr>
        <w:t xml:space="preserve"> corrections. </w:t>
      </w:r>
      <w:proofErr w:type="gramStart"/>
      <w:r w:rsidRPr="00AD0E3C">
        <w:rPr>
          <w:color w:val="FF0000"/>
        </w:rPr>
        <w:t>list</w:t>
      </w:r>
      <w:proofErr w:type="gramEnd"/>
      <w:r w:rsidRPr="00AD0E3C">
        <w:rPr>
          <w:color w:val="FF0000"/>
        </w:rPr>
        <w:t xml:space="preserve"> all authors unless long line and then refer to your APA book. Also question 10 is missing</w:t>
      </w:r>
    </w:p>
    <w:p w:rsidR="00E063CC" w:rsidRDefault="00E063CC" w:rsidP="00E063CC">
      <w:pPr>
        <w:pStyle w:val="APA"/>
      </w:pPr>
    </w:p>
    <w:p w:rsidR="00E063CC" w:rsidRDefault="00E063CC" w:rsidP="00E063CC">
      <w:pPr>
        <w:pStyle w:val="APA"/>
      </w:pPr>
    </w:p>
    <w:p w:rsidR="00E063CC" w:rsidRDefault="00E063CC" w:rsidP="00E063CC">
      <w:pPr>
        <w:pStyle w:val="APA"/>
      </w:pPr>
    </w:p>
    <w:p w:rsidR="00E063CC" w:rsidRDefault="00E063CC" w:rsidP="00E063CC">
      <w:pPr>
        <w:pStyle w:val="APAHeadingCenter"/>
      </w:pPr>
      <w:bookmarkStart w:id="0" w:name="bmTitlePageTitle"/>
      <w:r>
        <w:t>Case Study 5.2</w:t>
      </w:r>
      <w:bookmarkEnd w:id="0"/>
    </w:p>
    <w:p w:rsidR="00E063CC" w:rsidRDefault="00E063CC" w:rsidP="00E063CC">
      <w:pPr>
        <w:pStyle w:val="APAHeadingCenter"/>
      </w:pPr>
      <w:bookmarkStart w:id="1" w:name="bmTitlePageName"/>
      <w:r>
        <w:t>Debra Decker</w:t>
      </w:r>
      <w:bookmarkEnd w:id="1"/>
    </w:p>
    <w:p w:rsidR="00E063CC" w:rsidRDefault="00E063CC" w:rsidP="00E063CC">
      <w:pPr>
        <w:pStyle w:val="APAHeadingCenter"/>
      </w:pPr>
      <w:bookmarkStart w:id="2" w:name="bmTitlePageInst"/>
      <w:r>
        <w:t>Lakeview College of Nursing</w:t>
      </w:r>
      <w:bookmarkEnd w:id="2"/>
    </w:p>
    <w:p w:rsidR="00E063CC" w:rsidRDefault="00CC3A72" w:rsidP="00E063CC">
      <w:pPr>
        <w:pStyle w:val="APAHeadingCenter"/>
      </w:pPr>
      <w:bookmarkStart w:id="3" w:name="bmTitleAdd1"/>
      <w:r>
        <w:t>Nursing of the Gerontological C</w:t>
      </w:r>
      <w:r w:rsidR="00E063CC">
        <w:t>lient</w:t>
      </w:r>
      <w:bookmarkEnd w:id="3"/>
    </w:p>
    <w:p w:rsidR="00E063CC" w:rsidRDefault="00E063CC" w:rsidP="00E063CC">
      <w:pPr>
        <w:pStyle w:val="APAHeadingCenter"/>
      </w:pPr>
      <w:bookmarkStart w:id="4" w:name="bmTitleAdd2"/>
      <w:bookmarkStart w:id="5" w:name="bmTitleAdd3"/>
      <w:bookmarkEnd w:id="4"/>
      <w:r>
        <w:t xml:space="preserve">Mary Edwards, </w:t>
      </w:r>
      <w:bookmarkEnd w:id="5"/>
      <w:r w:rsidR="00A80310">
        <w:t>RN, MSN</w:t>
      </w:r>
    </w:p>
    <w:p w:rsidR="00E063CC" w:rsidRDefault="00E063CC" w:rsidP="00E063CC">
      <w:pPr>
        <w:pStyle w:val="APAHeadingCenter"/>
      </w:pPr>
      <w:bookmarkStart w:id="6" w:name="bmTitleAdd4"/>
      <w:r>
        <w:t>February 15, 2012</w:t>
      </w:r>
      <w:bookmarkEnd w:id="6"/>
    </w:p>
    <w:p w:rsidR="00E063CC" w:rsidRDefault="00E063CC" w:rsidP="00E063CC">
      <w:pPr>
        <w:pStyle w:val="APA"/>
        <w:sectPr w:rsidR="00E063CC" w:rsidSect="00E063C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E063CC" w:rsidRDefault="00E063CC" w:rsidP="00E063CC">
      <w:pPr>
        <w:pStyle w:val="APA"/>
        <w:sectPr w:rsidR="00E063CC" w:rsidSect="00E063CC">
          <w:headerReference w:type="first" r:id="rId14"/>
          <w:type w:val="continuous"/>
          <w:pgSz w:w="12240" w:h="15840" w:code="1"/>
          <w:pgMar w:top="1440" w:right="1440" w:bottom="1440" w:left="1440" w:header="720" w:footer="720" w:gutter="0"/>
          <w:cols w:space="720"/>
          <w:titlePg/>
          <w:docGrid w:linePitch="360"/>
        </w:sectPr>
      </w:pPr>
    </w:p>
    <w:p w:rsidR="00E063CC" w:rsidRDefault="00E063CC" w:rsidP="00E063CC">
      <w:pPr>
        <w:pStyle w:val="APAHeadingCenter"/>
      </w:pPr>
      <w:bookmarkStart w:id="7" w:name="bmFirstPageTitle"/>
      <w:r>
        <w:lastRenderedPageBreak/>
        <w:t>Case Study 5.2</w:t>
      </w:r>
      <w:bookmarkEnd w:id="7"/>
    </w:p>
    <w:p w:rsidR="00E56558" w:rsidRDefault="00B4077A" w:rsidP="00B4077A">
      <w:pPr>
        <w:pStyle w:val="APA"/>
      </w:pPr>
      <w:r>
        <w:t xml:space="preserve">1. </w:t>
      </w:r>
      <w:r w:rsidR="00E56558">
        <w:t xml:space="preserve">Compare and contrast the definitions for frailty, disability, and comorbidity.  </w:t>
      </w:r>
      <w:r w:rsidR="00B133F7">
        <w:t xml:space="preserve">Frailty, disability, and comorbidity interconnect and over-lap.  Frailty is </w:t>
      </w:r>
      <w:r w:rsidR="00351CF7">
        <w:t>a sign</w:t>
      </w:r>
      <w:r w:rsidR="00B133F7">
        <w:t xml:space="preserve"> of changes in</w:t>
      </w:r>
      <w:r w:rsidR="00351CF7">
        <w:t xml:space="preserve"> a person’s</w:t>
      </w:r>
      <w:r w:rsidR="00B133F7">
        <w:t xml:space="preserve"> physiological state </w:t>
      </w:r>
      <w:r w:rsidR="00351CF7">
        <w:t>that causes an</w:t>
      </w:r>
      <w:r w:rsidR="00B133F7">
        <w:t xml:space="preserve"> inability to maintain </w:t>
      </w:r>
      <w:r w:rsidR="00351CF7">
        <w:t xml:space="preserve">homeostasis.  </w:t>
      </w:r>
      <w:r w:rsidR="00AF1537">
        <w:t>Frailty is a decrease in a person’s physical and functional well-being making them more susceptible to dependency, disability, falls, need for long term care, and morbidity</w:t>
      </w:r>
      <w:sdt>
        <w:sdtPr>
          <w:id w:val="264128007"/>
          <w:citation/>
        </w:sdtPr>
        <w:sdtContent>
          <w:r w:rsidR="00C913ED">
            <w:fldChar w:fldCharType="begin"/>
          </w:r>
          <w:r w:rsidR="00450F52">
            <w:instrText xml:space="preserve">CITATION Ben07 \l 1033 </w:instrText>
          </w:r>
          <w:r w:rsidR="00C913ED">
            <w:fldChar w:fldCharType="separate"/>
          </w:r>
          <w:r w:rsidR="00450F52">
            <w:rPr>
              <w:noProof/>
            </w:rPr>
            <w:t xml:space="preserve"> (Benefield, 2007)</w:t>
          </w:r>
          <w:r w:rsidR="00C913ED">
            <w:fldChar w:fldCharType="end"/>
          </w:r>
        </w:sdtContent>
      </w:sdt>
      <w:r w:rsidR="00AF1537">
        <w:t xml:space="preserve">. </w:t>
      </w:r>
      <w:r w:rsidR="00097E68">
        <w:rPr>
          <w:rStyle w:val="CommentReference"/>
        </w:rPr>
        <w:commentReference w:id="8"/>
      </w:r>
      <w:r w:rsidR="00AF1537">
        <w:t xml:space="preserve"> </w:t>
      </w:r>
      <w:proofErr w:type="spellStart"/>
      <w:r w:rsidR="00351CF7">
        <w:t>Comorbidity</w:t>
      </w:r>
      <w:proofErr w:type="spellEnd"/>
      <w:r w:rsidR="00351CF7">
        <w:t xml:space="preserve"> refers to the existence of two or more </w:t>
      </w:r>
      <w:r w:rsidR="00217010">
        <w:t>different</w:t>
      </w:r>
      <w:r w:rsidR="00351CF7">
        <w:t xml:space="preserve"> disease processes in a person</w:t>
      </w:r>
      <w:sdt>
        <w:sdtPr>
          <w:id w:val="-114751332"/>
          <w:citation/>
        </w:sdtPr>
        <w:sdtContent>
          <w:r w:rsidR="00C913ED">
            <w:fldChar w:fldCharType="begin"/>
          </w:r>
          <w:r w:rsidR="00450F52">
            <w:instrText xml:space="preserve">CITATION Ben07 \l 1033 </w:instrText>
          </w:r>
          <w:r w:rsidR="00C913ED">
            <w:fldChar w:fldCharType="separate"/>
          </w:r>
          <w:r w:rsidR="00450F52">
            <w:rPr>
              <w:noProof/>
            </w:rPr>
            <w:t xml:space="preserve"> (Benefield, 2007)</w:t>
          </w:r>
          <w:r w:rsidR="00C913ED">
            <w:fldChar w:fldCharType="end"/>
          </w:r>
        </w:sdtContent>
      </w:sdt>
      <w:r w:rsidR="00351CF7">
        <w:t>.</w:t>
      </w:r>
      <w:r w:rsidR="00217010">
        <w:t xml:space="preserve"> </w:t>
      </w:r>
      <w:r w:rsidR="00097E68">
        <w:rPr>
          <w:rStyle w:val="CommentReference"/>
        </w:rPr>
        <w:commentReference w:id="9"/>
      </w:r>
      <w:r w:rsidR="00217010">
        <w:t xml:space="preserve"> </w:t>
      </w:r>
      <w:r w:rsidR="00351CF7">
        <w:t>Disability relates to the inability to carry out activities of daily living</w:t>
      </w:r>
      <w:sdt>
        <w:sdtPr>
          <w:id w:val="100230219"/>
          <w:citation/>
        </w:sdtPr>
        <w:sdtContent>
          <w:r w:rsidR="00C913ED">
            <w:fldChar w:fldCharType="begin"/>
          </w:r>
          <w:r w:rsidR="00450F52">
            <w:instrText xml:space="preserve">CITATION Ben07 \l 1033 </w:instrText>
          </w:r>
          <w:r w:rsidR="00C913ED">
            <w:fldChar w:fldCharType="separate"/>
          </w:r>
          <w:r w:rsidR="00450F52">
            <w:rPr>
              <w:noProof/>
            </w:rPr>
            <w:t xml:space="preserve"> (Benefield, 2007)</w:t>
          </w:r>
          <w:r w:rsidR="00C913ED">
            <w:fldChar w:fldCharType="end"/>
          </w:r>
        </w:sdtContent>
      </w:sdt>
      <w:r w:rsidR="00351CF7">
        <w:t>.</w:t>
      </w:r>
      <w:r w:rsidR="00097E68">
        <w:rPr>
          <w:rStyle w:val="CommentReference"/>
        </w:rPr>
        <w:commentReference w:id="10"/>
      </w:r>
      <w:r w:rsidR="00351CF7">
        <w:t xml:space="preserve">  </w:t>
      </w:r>
      <w:r w:rsidR="00217010">
        <w:t xml:space="preserve">As a person’s physical and functional well-being declines they develop different disease process, such as dependence and depression, and become unable to carry out their daily activities of living.  Frailty leads to comorbidity which then leads to disability.  </w:t>
      </w:r>
    </w:p>
    <w:p w:rsidR="00CB4699" w:rsidRDefault="00FF6560" w:rsidP="00B4077A">
      <w:pPr>
        <w:pStyle w:val="APA"/>
      </w:pPr>
      <w:r>
        <w:t xml:space="preserve">2.  Explain why frailty is considered a syndrome.  </w:t>
      </w:r>
      <w:r w:rsidR="000263DC">
        <w:t xml:space="preserve">A syndrome is a combination of signs and symptoms related to a particular disease process, which together </w:t>
      </w:r>
      <w:r w:rsidR="00CB4699">
        <w:t>create</w:t>
      </w:r>
      <w:r w:rsidR="000263DC">
        <w:t xml:space="preserve"> a picture of a disease </w:t>
      </w:r>
      <w:r w:rsidR="00CB4699">
        <w:t>abnormality</w:t>
      </w:r>
      <w:sdt>
        <w:sdtPr>
          <w:id w:val="-359510433"/>
          <w:citation/>
        </w:sdtPr>
        <w:sdtContent>
          <w:r w:rsidR="00C913ED">
            <w:fldChar w:fldCharType="begin"/>
          </w:r>
          <w:r w:rsidR="00CB4699">
            <w:instrText xml:space="preserve"> CITATION Ste12 \l 1033 </w:instrText>
          </w:r>
          <w:r w:rsidR="00C913ED">
            <w:fldChar w:fldCharType="separate"/>
          </w:r>
          <w:r w:rsidR="00CB4699">
            <w:rPr>
              <w:noProof/>
            </w:rPr>
            <w:t xml:space="preserve"> (Burroughs, 2012)</w:t>
          </w:r>
          <w:r w:rsidR="00C913ED">
            <w:fldChar w:fldCharType="end"/>
          </w:r>
        </w:sdtContent>
      </w:sdt>
      <w:r w:rsidR="000263DC">
        <w:t>.</w:t>
      </w:r>
      <w:r w:rsidR="00CB4699">
        <w:t xml:space="preserve">  Frailty is considered a syndrome because each symptom is related to the next symptom.  After putting all the symptoms together and evaluating them you discover the hidden problem.  As the person’s physical and functional health decline they start to develop medical problems.  All of these medical problems are connected to the decline of physical and functional health.  As the person loses physical ability they fall.  They have a decreased healing process which sends them to a long term care facility.  Once they are in the long term care facility they become depressed.  The cycle of symptoms continue but they are all connected.  </w:t>
      </w:r>
    </w:p>
    <w:p w:rsidR="00FF6560" w:rsidRDefault="00CB4699" w:rsidP="00B4077A">
      <w:pPr>
        <w:pStyle w:val="APA"/>
      </w:pPr>
      <w:r>
        <w:t xml:space="preserve">3.  View the frailty assessment tool and determine Mrs. Gibson’s actual score.  The presence of three or more components on the scale labels a person as frail.  </w:t>
      </w:r>
      <w:r w:rsidR="00B708B6">
        <w:t xml:space="preserve"> According to the </w:t>
      </w:r>
      <w:r w:rsidR="00B708B6">
        <w:lastRenderedPageBreak/>
        <w:t xml:space="preserve">assessment tool a score of 0 means robust, 1-2 means intermediate or pre-frail, and 3 or more means the person is frail.  The </w:t>
      </w:r>
      <w:r w:rsidR="00E51538">
        <w:t xml:space="preserve">components </w:t>
      </w:r>
      <w:r w:rsidR="00B708B6">
        <w:t>of the scale include a. shrinking-unintentional weight loss of 10 pounds or more in a year, b. exhaustion- presence of fatigue and tiredness, c. strength-loss of physical strength, d. slowness-unsteady, unbalanced gait, and e. low physical activity-inactive or sedentary</w:t>
      </w:r>
      <w:sdt>
        <w:sdtPr>
          <w:id w:val="1518654928"/>
          <w:citation/>
        </w:sdtPr>
        <w:sdtContent>
          <w:r w:rsidR="00C913ED">
            <w:fldChar w:fldCharType="begin"/>
          </w:r>
          <w:r w:rsidR="00450F52">
            <w:instrText xml:space="preserve">CITATION Ben07 \l 1033 </w:instrText>
          </w:r>
          <w:r w:rsidR="00C913ED">
            <w:fldChar w:fldCharType="separate"/>
          </w:r>
          <w:r w:rsidR="00450F52">
            <w:rPr>
              <w:noProof/>
            </w:rPr>
            <w:t xml:space="preserve"> (Benefield, 2007)</w:t>
          </w:r>
          <w:r w:rsidR="00C913ED">
            <w:fldChar w:fldCharType="end"/>
          </w:r>
        </w:sdtContent>
      </w:sdt>
      <w:r w:rsidR="00B708B6">
        <w:t xml:space="preserve">. </w:t>
      </w:r>
      <w:r w:rsidR="00097E68">
        <w:rPr>
          <w:rStyle w:val="CommentReference"/>
        </w:rPr>
        <w:commentReference w:id="11"/>
      </w:r>
      <w:r w:rsidR="00B708B6">
        <w:t xml:space="preserve"> Mrs. Gibson has lost 14 pounds in the last year, fatigued with physical activity, and requires a wheelchair for mobility.  </w:t>
      </w:r>
      <w:r w:rsidR="00E51538">
        <w:t xml:space="preserve">This is the presence of three components on the scale.  Her frailty score is three.  It might be </w:t>
      </w:r>
      <w:commentRangeStart w:id="12"/>
      <w:r w:rsidR="00E51538">
        <w:t>assumed</w:t>
      </w:r>
      <w:commentRangeEnd w:id="12"/>
      <w:r w:rsidR="00097E68">
        <w:rPr>
          <w:rStyle w:val="CommentReference"/>
        </w:rPr>
        <w:commentReference w:id="12"/>
      </w:r>
      <w:r w:rsidR="00E51538">
        <w:t xml:space="preserve"> that she has low physical activity and slowness which would give her a score of five.  The articles indicates that she ambulated without assistance and had a balanced gait, however it does not say that she has an unsteady gait.  It would also be assumed that she has become inactive and sedentary since she fatigues easily with physical activity.  </w:t>
      </w:r>
    </w:p>
    <w:p w:rsidR="00097E68" w:rsidRPr="00097E68" w:rsidRDefault="00097E68" w:rsidP="00097E68">
      <w:pPr>
        <w:overflowPunct/>
        <w:textAlignment w:val="auto"/>
        <w:rPr>
          <w:rFonts w:ascii="ITCGaramondStd-Bk" w:hAnsi="ITCGaramondStd-Bk" w:cs="ITCGaramondStd-Bk"/>
          <w:color w:val="FF0000"/>
        </w:rPr>
      </w:pPr>
      <w:r w:rsidRPr="00097E68">
        <w:rPr>
          <w:rFonts w:ascii="ITCGaramondStd-Bk" w:hAnsi="ITCGaramondStd-Bk" w:cs="ITCGaramondStd-Bk"/>
          <w:color w:val="FF0000"/>
        </w:rPr>
        <w:t>Mrs. Gibson’s score on the frailty assessment tool is a “3” as she has experienced a weight loss of 14 lbs, has the presence of fatigue, low physical activity and no longer can ambulate.</w:t>
      </w:r>
    </w:p>
    <w:p w:rsidR="00097E68" w:rsidRDefault="00097E68" w:rsidP="00097E68">
      <w:pPr>
        <w:overflowPunct/>
        <w:textAlignment w:val="auto"/>
      </w:pPr>
    </w:p>
    <w:p w:rsidR="00E51538" w:rsidRDefault="00E51538" w:rsidP="00B4077A">
      <w:pPr>
        <w:pStyle w:val="APA"/>
      </w:pPr>
      <w:r>
        <w:t xml:space="preserve">4.  Differentiate primary versus secondary frailty.  Primary frailty </w:t>
      </w:r>
      <w:r w:rsidR="0088540E">
        <w:t xml:space="preserve">is not related to an </w:t>
      </w:r>
      <w:r>
        <w:t>underlying</w:t>
      </w:r>
      <w:r w:rsidR="0088540E">
        <w:t xml:space="preserve"> disease process;</w:t>
      </w:r>
      <w:r>
        <w:t xml:space="preserve"> secondary </w:t>
      </w:r>
      <w:r w:rsidR="0088540E">
        <w:t xml:space="preserve">frailty </w:t>
      </w:r>
      <w:r>
        <w:t xml:space="preserve">originates from </w:t>
      </w:r>
      <w:r w:rsidR="0088540E">
        <w:t>a disease process</w:t>
      </w:r>
      <w:sdt>
        <w:sdtPr>
          <w:id w:val="160670415"/>
          <w:citation/>
        </w:sdtPr>
        <w:sdtContent>
          <w:r w:rsidR="00C913ED">
            <w:fldChar w:fldCharType="begin"/>
          </w:r>
          <w:r w:rsidR="00450F52">
            <w:instrText xml:space="preserve">CITATION Ben07 \l 1033 </w:instrText>
          </w:r>
          <w:r w:rsidR="00C913ED">
            <w:fldChar w:fldCharType="separate"/>
          </w:r>
          <w:r w:rsidR="00450F52">
            <w:rPr>
              <w:noProof/>
            </w:rPr>
            <w:t xml:space="preserve"> (Benefield, 2007)</w:t>
          </w:r>
          <w:r w:rsidR="00C913ED">
            <w:fldChar w:fldCharType="end"/>
          </w:r>
        </w:sdtContent>
      </w:sdt>
      <w:r w:rsidR="0088540E">
        <w:t xml:space="preserve">. </w:t>
      </w:r>
      <w:r w:rsidR="00097E68">
        <w:rPr>
          <w:rStyle w:val="CommentReference"/>
        </w:rPr>
        <w:commentReference w:id="13"/>
      </w:r>
      <w:r w:rsidR="0088540E">
        <w:t xml:space="preserve"> </w:t>
      </w:r>
      <w:r w:rsidR="001B55CA">
        <w:t>In primary frailty there is no disease causing weight loss, exhaustion, decreased strength, slowness, or decreased physical activity.  There is no pathological reason for these signs and symptoms.  Secondary frailty would be related to a disease process causing weight loss, exhaustion, decreased strength, slowness, and decreased physical activity.  There is a pathological reason to explain these signs and symptoms.</w:t>
      </w:r>
    </w:p>
    <w:p w:rsidR="00944F31" w:rsidRDefault="001B55CA" w:rsidP="00B4077A">
      <w:pPr>
        <w:pStyle w:val="APA"/>
      </w:pPr>
      <w:r>
        <w:t xml:space="preserve">5.  What criteria comprise the six physiologic-based risk factors for </w:t>
      </w:r>
      <w:r w:rsidR="00673574">
        <w:t>frailty?</w:t>
      </w:r>
      <w:r w:rsidR="00FF5294">
        <w:t xml:space="preserve">  </w:t>
      </w:r>
      <w:r w:rsidR="00703267">
        <w:t>Activated inflammation, immune system dysfunction, anemia, endocrine system alterations, under or over weight, and age are the six physiologic-based risk factors for frailty</w:t>
      </w:r>
      <w:sdt>
        <w:sdtPr>
          <w:id w:val="-1957172964"/>
          <w:citation/>
        </w:sdtPr>
        <w:sdtContent>
          <w:r w:rsidR="00C913ED">
            <w:fldChar w:fldCharType="begin"/>
          </w:r>
          <w:r w:rsidR="00703267">
            <w:instrText xml:space="preserve"> CITATION Esp07 \l 1033 </w:instrText>
          </w:r>
          <w:r w:rsidR="00C913ED">
            <w:fldChar w:fldCharType="separate"/>
          </w:r>
          <w:r w:rsidR="00703267">
            <w:rPr>
              <w:noProof/>
            </w:rPr>
            <w:t xml:space="preserve"> (Espinoza, 2007)</w:t>
          </w:r>
          <w:r w:rsidR="00C913ED">
            <w:fldChar w:fldCharType="end"/>
          </w:r>
        </w:sdtContent>
      </w:sdt>
      <w:r w:rsidR="00703267">
        <w:t>.</w:t>
      </w:r>
      <w:r w:rsidR="00097E68">
        <w:rPr>
          <w:rStyle w:val="CommentReference"/>
        </w:rPr>
        <w:commentReference w:id="14"/>
      </w:r>
      <w:r w:rsidR="00703267">
        <w:t xml:space="preserve">  In activated inflammation people have an increased mean level of C-reactive protein.  This is a </w:t>
      </w:r>
      <w:r w:rsidR="00703267">
        <w:lastRenderedPageBreak/>
        <w:t xml:space="preserve">marker for inflammation and coagulation.  This increased level indicates a chronic state of </w:t>
      </w:r>
      <w:proofErr w:type="spellStart"/>
      <w:r w:rsidR="00703267">
        <w:t>upregulated</w:t>
      </w:r>
      <w:proofErr w:type="spellEnd"/>
      <w:r w:rsidR="00703267">
        <w:t xml:space="preserve"> inflammation and coagulation</w:t>
      </w:r>
      <w:sdt>
        <w:sdtPr>
          <w:id w:val="-416785696"/>
          <w:citation/>
        </w:sdtPr>
        <w:sdtContent>
          <w:r w:rsidR="00C913ED">
            <w:fldChar w:fldCharType="begin"/>
          </w:r>
          <w:r w:rsidR="00944F31">
            <w:instrText xml:space="preserve"> CITATION Esp07 \l 1033 </w:instrText>
          </w:r>
          <w:r w:rsidR="00C913ED">
            <w:fldChar w:fldCharType="separate"/>
          </w:r>
          <w:r w:rsidR="00944F31">
            <w:rPr>
              <w:noProof/>
            </w:rPr>
            <w:t xml:space="preserve"> (Espinoza, 2007)</w:t>
          </w:r>
          <w:r w:rsidR="00C913ED">
            <w:fldChar w:fldCharType="end"/>
          </w:r>
        </w:sdtContent>
      </w:sdt>
      <w:r w:rsidR="00703267">
        <w:t xml:space="preserve">.  </w:t>
      </w:r>
      <w:r w:rsidR="00450F52">
        <w:t>Immune system dysfunction can lead to activation of inflammation.  Frail people have a decreased ability to ability to proliferate peripheral blood mononuclear cells when stimulated by bacterial infections</w:t>
      </w:r>
      <w:sdt>
        <w:sdtPr>
          <w:id w:val="609547154"/>
          <w:citation/>
        </w:sdtPr>
        <w:sdtContent>
          <w:r w:rsidR="00C913ED">
            <w:fldChar w:fldCharType="begin"/>
          </w:r>
          <w:r w:rsidR="00944F31">
            <w:instrText xml:space="preserve"> CITATION Esp07 \l 1033 </w:instrText>
          </w:r>
          <w:r w:rsidR="00C913ED">
            <w:fldChar w:fldCharType="separate"/>
          </w:r>
          <w:r w:rsidR="00944F31">
            <w:rPr>
              <w:noProof/>
            </w:rPr>
            <w:t xml:space="preserve"> (Espinoza, 2007)</w:t>
          </w:r>
          <w:r w:rsidR="00C913ED">
            <w:fldChar w:fldCharType="end"/>
          </w:r>
        </w:sdtContent>
      </w:sdt>
      <w:r w:rsidR="00450F52">
        <w:t>.  Anemia is also related to frailty and the activated inflammation.</w:t>
      </w:r>
      <w:sdt>
        <w:sdtPr>
          <w:id w:val="1443804183"/>
          <w:citation/>
        </w:sdtPr>
        <w:sdtContent>
          <w:r w:rsidR="00C913ED">
            <w:fldChar w:fldCharType="begin"/>
          </w:r>
          <w:r w:rsidR="00944F31">
            <w:instrText xml:space="preserve"> CITATION Esp07 \l 1033 </w:instrText>
          </w:r>
          <w:r w:rsidR="00C913ED">
            <w:fldChar w:fldCharType="separate"/>
          </w:r>
          <w:r w:rsidR="00944F31">
            <w:rPr>
              <w:noProof/>
            </w:rPr>
            <w:t xml:space="preserve"> (Espinoza, 2007)</w:t>
          </w:r>
          <w:r w:rsidR="00C913ED">
            <w:fldChar w:fldCharType="end"/>
          </w:r>
        </w:sdtContent>
      </w:sdt>
      <w:r w:rsidR="00450F52">
        <w:t xml:space="preserve">  The endocrine system shows decreased levels of insulin–like-growth factors and </w:t>
      </w:r>
      <w:proofErr w:type="spellStart"/>
      <w:r w:rsidR="00450F52">
        <w:t>dehydroepiandrosterone</w:t>
      </w:r>
      <w:proofErr w:type="spellEnd"/>
      <w:r w:rsidR="00450F52">
        <w:t xml:space="preserve"> sulfate.  These hormones are associated with lean muscle mass and </w:t>
      </w:r>
      <w:proofErr w:type="spellStart"/>
      <w:r w:rsidR="00450F52">
        <w:t>sacropenia</w:t>
      </w:r>
      <w:proofErr w:type="spellEnd"/>
      <w:sdt>
        <w:sdtPr>
          <w:id w:val="227426361"/>
          <w:citation/>
        </w:sdtPr>
        <w:sdtContent>
          <w:r w:rsidR="00C913ED">
            <w:fldChar w:fldCharType="begin"/>
          </w:r>
          <w:r w:rsidR="00944F31">
            <w:instrText xml:space="preserve"> CITATION Esp07 \l 1033 </w:instrText>
          </w:r>
          <w:r w:rsidR="00C913ED">
            <w:fldChar w:fldCharType="separate"/>
          </w:r>
          <w:r w:rsidR="00944F31">
            <w:rPr>
              <w:noProof/>
            </w:rPr>
            <w:t xml:space="preserve"> (Espinoza, 2007)</w:t>
          </w:r>
          <w:r w:rsidR="00C913ED">
            <w:fldChar w:fldCharType="end"/>
          </w:r>
        </w:sdtContent>
      </w:sdt>
      <w:r w:rsidR="00450F52">
        <w:t xml:space="preserve">.  Weight is viewed as inadequate nutrition.  This can cause the person to be overweight or underweight.  </w:t>
      </w:r>
      <w:r w:rsidR="00944F31">
        <w:t>Weight causes problems with physical activity, glucose metabolism, insulin insensitivity, and activation inflammation</w:t>
      </w:r>
      <w:sdt>
        <w:sdtPr>
          <w:id w:val="547879609"/>
          <w:citation/>
        </w:sdtPr>
        <w:sdtContent>
          <w:r w:rsidR="00C913ED">
            <w:fldChar w:fldCharType="begin"/>
          </w:r>
          <w:r w:rsidR="00944F31">
            <w:instrText xml:space="preserve"> CITATION Esp07 \l 1033 </w:instrText>
          </w:r>
          <w:r w:rsidR="00C913ED">
            <w:fldChar w:fldCharType="separate"/>
          </w:r>
          <w:r w:rsidR="00944F31">
            <w:rPr>
              <w:noProof/>
            </w:rPr>
            <w:t xml:space="preserve"> (Espinoza, 2007)</w:t>
          </w:r>
          <w:r w:rsidR="00C913ED">
            <w:fldChar w:fldCharType="end"/>
          </w:r>
        </w:sdtContent>
      </w:sdt>
      <w:r w:rsidR="00944F31">
        <w:t>.  Age is related to the decline in normal physiological functions, oxidative stress, and associated cellular damage</w:t>
      </w:r>
      <w:sdt>
        <w:sdtPr>
          <w:id w:val="32237533"/>
          <w:citation/>
        </w:sdtPr>
        <w:sdtContent>
          <w:r w:rsidR="00C913ED">
            <w:fldChar w:fldCharType="begin"/>
          </w:r>
          <w:r w:rsidR="00944F31">
            <w:instrText xml:space="preserve"> CITATION Esp07 \l 1033 </w:instrText>
          </w:r>
          <w:r w:rsidR="00C913ED">
            <w:fldChar w:fldCharType="separate"/>
          </w:r>
          <w:r w:rsidR="00944F31">
            <w:rPr>
              <w:noProof/>
            </w:rPr>
            <w:t xml:space="preserve"> (Espinoza, 2007)</w:t>
          </w:r>
          <w:r w:rsidR="00C913ED">
            <w:fldChar w:fldCharType="end"/>
          </w:r>
        </w:sdtContent>
      </w:sdt>
      <w:r w:rsidR="00944F31">
        <w:t>.</w:t>
      </w:r>
    </w:p>
    <w:p w:rsidR="00944F31" w:rsidRDefault="00944F31" w:rsidP="00B4077A">
      <w:pPr>
        <w:pStyle w:val="APA"/>
      </w:pPr>
      <w:r>
        <w:t xml:space="preserve">6.  Discuss the </w:t>
      </w:r>
      <w:proofErr w:type="spellStart"/>
      <w:r>
        <w:t>sociodemographic</w:t>
      </w:r>
      <w:proofErr w:type="spellEnd"/>
      <w:r>
        <w:t xml:space="preserve"> and psychological risk factors presented in the article.</w:t>
      </w:r>
      <w:r w:rsidR="003F129F">
        <w:t xml:space="preserve">  Lower socioeconomic status such as lower education and lower income are at an increased risk for frailty</w:t>
      </w:r>
      <w:sdt>
        <w:sdtPr>
          <w:id w:val="-261607238"/>
          <w:citation/>
        </w:sdtPr>
        <w:sdtContent>
          <w:r w:rsidR="00C913ED">
            <w:fldChar w:fldCharType="begin"/>
          </w:r>
          <w:r w:rsidR="001C5EA2">
            <w:instrText xml:space="preserve"> CITATION Esp07 \l 1033 </w:instrText>
          </w:r>
          <w:r w:rsidR="00C913ED">
            <w:fldChar w:fldCharType="separate"/>
          </w:r>
          <w:r w:rsidR="001C5EA2">
            <w:rPr>
              <w:noProof/>
            </w:rPr>
            <w:t xml:space="preserve"> (Espinoza, 2007)</w:t>
          </w:r>
          <w:r w:rsidR="00C913ED">
            <w:fldChar w:fldCharType="end"/>
          </w:r>
        </w:sdtContent>
      </w:sdt>
      <w:r w:rsidR="001C5EA2">
        <w:t xml:space="preserve">.  This is due to the lifestyle factors such as health care, race, ethnicity, and lack of education.  Depression may contribute to frailty.  Depression itself leads to weight loss and decrease in activity.  If a patient is already suffering from depression it stands to reason that they are at an increased risk for weight loss, decreased activity, muscle loss, decreased strength leading to acute illnesses </w:t>
      </w:r>
      <w:sdt>
        <w:sdtPr>
          <w:id w:val="-1166244987"/>
          <w:citation/>
        </w:sdtPr>
        <w:sdtContent>
          <w:r w:rsidR="00C913ED">
            <w:fldChar w:fldCharType="begin"/>
          </w:r>
          <w:r w:rsidR="001C5EA2">
            <w:instrText xml:space="preserve"> CITATION Esp07 \l 1033 </w:instrText>
          </w:r>
          <w:r w:rsidR="00C913ED">
            <w:fldChar w:fldCharType="separate"/>
          </w:r>
          <w:r w:rsidR="001C5EA2">
            <w:rPr>
              <w:noProof/>
            </w:rPr>
            <w:t>(Espinoza, 2007)</w:t>
          </w:r>
          <w:r w:rsidR="00C913ED">
            <w:fldChar w:fldCharType="end"/>
          </w:r>
        </w:sdtContent>
      </w:sdt>
      <w:r w:rsidR="001C5EA2">
        <w:t xml:space="preserve">.  </w:t>
      </w:r>
      <w:r w:rsidR="00D925BD">
        <w:t xml:space="preserve">  </w:t>
      </w:r>
    </w:p>
    <w:p w:rsidR="00944F31" w:rsidRPr="00097E68" w:rsidRDefault="00944F31" w:rsidP="00B4077A">
      <w:pPr>
        <w:pStyle w:val="APA"/>
        <w:rPr>
          <w:color w:val="FF0000"/>
        </w:rPr>
      </w:pPr>
      <w:r>
        <w:t>7.  Which of the risk factors viewed for frailty would not be modifiable?</w:t>
      </w:r>
      <w:r w:rsidR="00D925BD">
        <w:t xml:space="preserve">  </w:t>
      </w:r>
      <w:proofErr w:type="spellStart"/>
      <w:r w:rsidR="00D925BD">
        <w:t>Socioeconomical</w:t>
      </w:r>
      <w:proofErr w:type="spellEnd"/>
      <w:r w:rsidR="00D925BD">
        <w:t xml:space="preserve"> and race cannot be modified </w:t>
      </w:r>
      <w:sdt>
        <w:sdtPr>
          <w:id w:val="1951200461"/>
          <w:citation/>
        </w:sdtPr>
        <w:sdtContent>
          <w:r w:rsidR="00C913ED">
            <w:fldChar w:fldCharType="begin"/>
          </w:r>
          <w:r w:rsidR="00D925BD">
            <w:instrText xml:space="preserve"> CITATION Esp07 \l 1033 </w:instrText>
          </w:r>
          <w:r w:rsidR="00C913ED">
            <w:fldChar w:fldCharType="separate"/>
          </w:r>
          <w:r w:rsidR="00D925BD">
            <w:rPr>
              <w:noProof/>
            </w:rPr>
            <w:t>(Espinoza, 2007)</w:t>
          </w:r>
          <w:r w:rsidR="00C913ED">
            <w:fldChar w:fldCharType="end"/>
          </w:r>
        </w:sdtContent>
      </w:sdt>
      <w:r w:rsidR="00D925BD">
        <w:t>.</w:t>
      </w:r>
      <w:r w:rsidR="003F129F">
        <w:t xml:space="preserve">  There are risk factors associated with </w:t>
      </w:r>
      <w:proofErr w:type="spellStart"/>
      <w:r w:rsidR="003F129F">
        <w:t>socioeconomical</w:t>
      </w:r>
      <w:proofErr w:type="spellEnd"/>
      <w:r w:rsidR="003F129F">
        <w:t xml:space="preserve"> and race that can be modified, but you cannot change who you are.  </w:t>
      </w:r>
      <w:r w:rsidR="00097E68">
        <w:t xml:space="preserve"> </w:t>
      </w:r>
      <w:r w:rsidR="00097E68" w:rsidRPr="00097E68">
        <w:rPr>
          <w:rFonts w:ascii="ITCGaramondStd-Bk" w:hAnsi="ITCGaramondStd-Bk" w:cs="ITCGaramondStd-Bk"/>
          <w:color w:val="FF0000"/>
        </w:rPr>
        <w:t>Gender, race, age, and socioeconomic status</w:t>
      </w:r>
    </w:p>
    <w:p w:rsidR="00E42B2C" w:rsidRDefault="00944F31" w:rsidP="00B4077A">
      <w:pPr>
        <w:pStyle w:val="APA"/>
      </w:pPr>
      <w:r>
        <w:lastRenderedPageBreak/>
        <w:t xml:space="preserve">8.  Nutritional supplements as an alternative medicine intervention for frailty includes the following: (select all that apply).  </w:t>
      </w:r>
      <w:proofErr w:type="gramStart"/>
      <w:r>
        <w:t xml:space="preserve">A. carotenoids, B. vitamin D, C. probiotics, D. </w:t>
      </w:r>
      <w:proofErr w:type="spellStart"/>
      <w:r>
        <w:t>creatine</w:t>
      </w:r>
      <w:proofErr w:type="spellEnd"/>
      <w:r>
        <w:t xml:space="preserve">, E. </w:t>
      </w:r>
      <w:proofErr w:type="spellStart"/>
      <w:r>
        <w:t>dehydroepiandrosterone</w:t>
      </w:r>
      <w:proofErr w:type="spellEnd"/>
      <w:r>
        <w:t xml:space="preserve"> (DHEA).</w:t>
      </w:r>
      <w:proofErr w:type="gramEnd"/>
      <w:r w:rsidR="002C4805">
        <w:t xml:space="preserve">  </w:t>
      </w:r>
      <w:proofErr w:type="spellStart"/>
      <w:r w:rsidR="002C4805">
        <w:t>Carotenoids</w:t>
      </w:r>
      <w:proofErr w:type="spellEnd"/>
      <w:r w:rsidR="002C4805">
        <w:t xml:space="preserve">, vitamin D, </w:t>
      </w:r>
      <w:proofErr w:type="spellStart"/>
      <w:r w:rsidR="002C4805">
        <w:t>probiotics</w:t>
      </w:r>
      <w:proofErr w:type="spellEnd"/>
      <w:r w:rsidR="002C4805">
        <w:t xml:space="preserve">, </w:t>
      </w:r>
      <w:proofErr w:type="spellStart"/>
      <w:r w:rsidR="002C4805">
        <w:t>creatine</w:t>
      </w:r>
      <w:proofErr w:type="spellEnd"/>
      <w:r w:rsidR="002C4805">
        <w:t xml:space="preserve">, and </w:t>
      </w:r>
      <w:proofErr w:type="spellStart"/>
      <w:r w:rsidR="002C4805">
        <w:t>dehydroepiandrosterone</w:t>
      </w:r>
      <w:proofErr w:type="spellEnd"/>
      <w:r w:rsidR="002C4805">
        <w:t xml:space="preserve"> (DHEEA) can be used as an alternative medicine intervention for frailty </w:t>
      </w:r>
      <w:sdt>
        <w:sdtPr>
          <w:id w:val="1520662686"/>
          <w:citation/>
        </w:sdtPr>
        <w:sdtContent>
          <w:r w:rsidR="00C913ED">
            <w:fldChar w:fldCharType="begin"/>
          </w:r>
          <w:r w:rsidR="002C4805">
            <w:instrText xml:space="preserve"> CITATION Che07 \l 1033 </w:instrText>
          </w:r>
          <w:r w:rsidR="00C913ED">
            <w:fldChar w:fldCharType="separate"/>
          </w:r>
          <w:r w:rsidR="002C4805">
            <w:rPr>
              <w:noProof/>
            </w:rPr>
            <w:t>(Cherniak, 2007)</w:t>
          </w:r>
          <w:r w:rsidR="00C913ED">
            <w:fldChar w:fldCharType="end"/>
          </w:r>
        </w:sdtContent>
      </w:sdt>
      <w:r w:rsidR="002C4805">
        <w:t xml:space="preserve">. </w:t>
      </w:r>
      <w:r w:rsidR="00097E68">
        <w:rPr>
          <w:rStyle w:val="CommentReference"/>
        </w:rPr>
        <w:commentReference w:id="15"/>
      </w:r>
      <w:r w:rsidR="002C4805">
        <w:t xml:space="preserve"> Vitamin D appears </w:t>
      </w:r>
      <w:r w:rsidR="00E42B2C">
        <w:t xml:space="preserve">to </w:t>
      </w:r>
      <w:r w:rsidR="002C4805">
        <w:t>have the greatest benefits for long term health.</w:t>
      </w:r>
      <w:r w:rsidR="00E42B2C">
        <w:t xml:space="preserve">  Nutrient deficits are related to frailty.  Replacing the nutrients would help to decrease frailty.  There appears to be a strong correlation with carotenoids in frailty</w:t>
      </w:r>
      <w:sdt>
        <w:sdtPr>
          <w:id w:val="-235859697"/>
          <w:citation/>
        </w:sdtPr>
        <w:sdtContent>
          <w:r w:rsidR="00C913ED">
            <w:fldChar w:fldCharType="begin"/>
          </w:r>
          <w:r w:rsidR="00E42B2C">
            <w:instrText xml:space="preserve"> CITATION Che07 \l 1033 </w:instrText>
          </w:r>
          <w:r w:rsidR="00C913ED">
            <w:fldChar w:fldCharType="separate"/>
          </w:r>
          <w:r w:rsidR="00E42B2C">
            <w:rPr>
              <w:noProof/>
            </w:rPr>
            <w:t xml:space="preserve"> (Cherniak, 2007)</w:t>
          </w:r>
          <w:r w:rsidR="00C913ED">
            <w:fldChar w:fldCharType="end"/>
          </w:r>
        </w:sdtContent>
      </w:sdt>
      <w:r w:rsidR="00E42B2C">
        <w:t>.  Studies have shown that reduced consumption of three or more nutrients is a factor in frailty.  Replacing the lost nutrients would help decrease the risk for frailty.</w:t>
      </w:r>
      <w:r w:rsidR="002C4805">
        <w:t xml:space="preserve">  </w:t>
      </w:r>
    </w:p>
    <w:p w:rsidR="00097E68" w:rsidRPr="00097E68" w:rsidRDefault="00097E68" w:rsidP="00B4077A">
      <w:pPr>
        <w:pStyle w:val="APA"/>
        <w:rPr>
          <w:color w:val="FF0000"/>
        </w:rPr>
      </w:pPr>
      <w:proofErr w:type="gramStart"/>
      <w:r w:rsidRPr="00097E68">
        <w:rPr>
          <w:rFonts w:ascii="ITCGaramondStd-Bk" w:hAnsi="ITCGaramondStd-Bk" w:cs="ITCGaramondStd-Bk"/>
          <w:color w:val="FF0000"/>
        </w:rPr>
        <w:t>A, B, D, and E.</w:t>
      </w:r>
      <w:proofErr w:type="gramEnd"/>
    </w:p>
    <w:p w:rsidR="00DF2338" w:rsidRDefault="00944F31" w:rsidP="00B4077A">
      <w:pPr>
        <w:pStyle w:val="APA"/>
      </w:pPr>
      <w:r>
        <w:t xml:space="preserve">9.  </w:t>
      </w:r>
      <w:proofErr w:type="gramStart"/>
      <w:r>
        <w:t>Using</w:t>
      </w:r>
      <w:proofErr w:type="gramEnd"/>
      <w:r>
        <w:t xml:space="preserve"> the same internet source, discuss how tai chi may be an appropriate </w:t>
      </w:r>
      <w:r w:rsidR="00DF2338">
        <w:t>intervention.</w:t>
      </w:r>
      <w:r w:rsidR="00FB21AE">
        <w:t xml:space="preserve">  Tai chi addresses three factors related to frailty-weakness, slow walking speed, and low physical activity </w:t>
      </w:r>
      <w:sdt>
        <w:sdtPr>
          <w:id w:val="1958131147"/>
          <w:citation/>
        </w:sdtPr>
        <w:sdtContent>
          <w:r w:rsidR="00C913ED">
            <w:fldChar w:fldCharType="begin"/>
          </w:r>
          <w:r w:rsidR="00FB21AE">
            <w:instrText xml:space="preserve"> CITATION Che07 \l 1033 </w:instrText>
          </w:r>
          <w:r w:rsidR="00C913ED">
            <w:fldChar w:fldCharType="separate"/>
          </w:r>
          <w:r w:rsidR="00FB21AE">
            <w:rPr>
              <w:noProof/>
            </w:rPr>
            <w:t>(Cherniak, 2007)</w:t>
          </w:r>
          <w:r w:rsidR="00C913ED">
            <w:fldChar w:fldCharType="end"/>
          </w:r>
        </w:sdtContent>
      </w:sdt>
      <w:r w:rsidR="00FB21AE">
        <w:t xml:space="preserve">.  Tai chi helps to maintain balance and strength.  It has been shown to improve postural sway and balance.  This is an exercise that elderly would be able to perform.  Exercise in general helps with the mind and body.  </w:t>
      </w:r>
      <w:r w:rsidR="00B51F26">
        <w:t xml:space="preserve">Exercise will help to build their strength as well as their mind.  </w:t>
      </w:r>
    </w:p>
    <w:p w:rsidR="00097E68" w:rsidRPr="00097E68" w:rsidRDefault="00097E68" w:rsidP="00B4077A">
      <w:pPr>
        <w:pStyle w:val="APA"/>
        <w:rPr>
          <w:color w:val="FF0000"/>
        </w:rPr>
      </w:pPr>
      <w:r w:rsidRPr="00097E68">
        <w:rPr>
          <w:color w:val="FF0000"/>
        </w:rPr>
        <w:t>Where is question 10???</w:t>
      </w:r>
    </w:p>
    <w:p w:rsidR="001B55CA" w:rsidRDefault="00944F31" w:rsidP="00B4077A">
      <w:pPr>
        <w:pStyle w:val="APA"/>
      </w:pPr>
      <w:r>
        <w:t xml:space="preserve">    </w:t>
      </w:r>
    </w:p>
    <w:p w:rsidR="00736445" w:rsidRDefault="00736445" w:rsidP="00B4077A">
      <w:pPr>
        <w:pStyle w:val="APA"/>
      </w:pPr>
    </w:p>
    <w:p w:rsidR="00736445" w:rsidRDefault="00736445" w:rsidP="00B4077A">
      <w:pPr>
        <w:pStyle w:val="APA"/>
      </w:pPr>
    </w:p>
    <w:p w:rsidR="00736445" w:rsidRDefault="00736445" w:rsidP="00B4077A">
      <w:pPr>
        <w:pStyle w:val="APA"/>
      </w:pPr>
    </w:p>
    <w:p w:rsidR="00736445" w:rsidRDefault="00736445" w:rsidP="00B4077A">
      <w:pPr>
        <w:pStyle w:val="APA"/>
      </w:pPr>
    </w:p>
    <w:p w:rsidR="00736445" w:rsidRDefault="00736445" w:rsidP="00B4077A">
      <w:pPr>
        <w:pStyle w:val="APA"/>
      </w:pPr>
    </w:p>
    <w:p w:rsidR="00736445" w:rsidRDefault="00736445" w:rsidP="00B4077A">
      <w:pPr>
        <w:pStyle w:val="APA"/>
      </w:pPr>
    </w:p>
    <w:p w:rsidR="00736445" w:rsidRPr="00AD0E3C" w:rsidRDefault="00097E68" w:rsidP="00B4077A">
      <w:pPr>
        <w:pStyle w:val="APA"/>
        <w:rPr>
          <w:color w:val="FF0000"/>
        </w:rPr>
      </w:pPr>
      <w:r w:rsidRPr="00AD0E3C">
        <w:rPr>
          <w:color w:val="FF0000"/>
        </w:rPr>
        <w:t xml:space="preserve">3 of these references have more than 1 author and must be listed. I think Burroughs is the editor? </w:t>
      </w:r>
      <w:proofErr w:type="gramStart"/>
      <w:r w:rsidRPr="00AD0E3C">
        <w:rPr>
          <w:color w:val="FF0000"/>
        </w:rPr>
        <w:t>If so (Ed.).</w:t>
      </w:r>
      <w:proofErr w:type="gramEnd"/>
      <w:r w:rsidRPr="00AD0E3C">
        <w:rPr>
          <w:color w:val="FF0000"/>
        </w:rPr>
        <w:t xml:space="preserve"> </w:t>
      </w:r>
      <w:proofErr w:type="gramStart"/>
      <w:r w:rsidRPr="00AD0E3C">
        <w:rPr>
          <w:color w:val="FF0000"/>
        </w:rPr>
        <w:t>should</w:t>
      </w:r>
      <w:proofErr w:type="gramEnd"/>
      <w:r w:rsidRPr="00AD0E3C">
        <w:rPr>
          <w:color w:val="FF0000"/>
        </w:rPr>
        <w:t xml:space="preserve"> follow that name. Only capitalize the first </w:t>
      </w:r>
      <w:r w:rsidR="00AD0E3C" w:rsidRPr="00AD0E3C">
        <w:rPr>
          <w:color w:val="FF0000"/>
        </w:rPr>
        <w:t>word in the titles here.</w:t>
      </w:r>
    </w:p>
    <w:p w:rsidR="00736445" w:rsidRDefault="00736445" w:rsidP="00736445">
      <w:pPr>
        <w:pStyle w:val="APA"/>
        <w:jc w:val="center"/>
      </w:pPr>
      <w:r>
        <w:t>References</w:t>
      </w:r>
    </w:p>
    <w:p w:rsidR="00736445" w:rsidRPr="00736445" w:rsidRDefault="00C913ED" w:rsidP="00736445">
      <w:pPr>
        <w:pStyle w:val="Bibliography"/>
        <w:spacing w:line="480" w:lineRule="auto"/>
        <w:ind w:left="720" w:hanging="720"/>
        <w:rPr>
          <w:noProof/>
          <w:sz w:val="24"/>
          <w:szCs w:val="24"/>
        </w:rPr>
      </w:pPr>
      <w:r w:rsidRPr="00736445">
        <w:rPr>
          <w:sz w:val="24"/>
          <w:szCs w:val="24"/>
        </w:rPr>
        <w:fldChar w:fldCharType="begin"/>
      </w:r>
      <w:r w:rsidR="00736445" w:rsidRPr="00736445">
        <w:rPr>
          <w:sz w:val="24"/>
          <w:szCs w:val="24"/>
        </w:rPr>
        <w:instrText xml:space="preserve"> BIBLIOGRAPHY  \l 1033 </w:instrText>
      </w:r>
      <w:r w:rsidRPr="00736445">
        <w:rPr>
          <w:sz w:val="24"/>
          <w:szCs w:val="24"/>
        </w:rPr>
        <w:fldChar w:fldCharType="separate"/>
      </w:r>
      <w:r w:rsidR="00736445" w:rsidRPr="00736445">
        <w:rPr>
          <w:noProof/>
          <w:sz w:val="24"/>
          <w:szCs w:val="24"/>
        </w:rPr>
        <w:t xml:space="preserve">Benefield, L. E. (2007, April). </w:t>
      </w:r>
      <w:r w:rsidR="00736445" w:rsidRPr="00736445">
        <w:rPr>
          <w:i/>
          <w:iCs/>
          <w:noProof/>
          <w:sz w:val="24"/>
          <w:szCs w:val="24"/>
        </w:rPr>
        <w:t>Frailty and Its Implications for Care</w:t>
      </w:r>
      <w:r w:rsidR="00736445" w:rsidRPr="00736445">
        <w:rPr>
          <w:noProof/>
          <w:sz w:val="24"/>
          <w:szCs w:val="24"/>
        </w:rPr>
        <w:t>. Retrieved from ConsultGeriRN.org: www.consultgerirn.org</w:t>
      </w:r>
    </w:p>
    <w:p w:rsidR="00736445" w:rsidRPr="00736445" w:rsidRDefault="00736445" w:rsidP="00736445">
      <w:pPr>
        <w:pStyle w:val="Bibliography"/>
        <w:spacing w:line="480" w:lineRule="auto"/>
        <w:ind w:left="720" w:hanging="720"/>
        <w:rPr>
          <w:noProof/>
          <w:sz w:val="24"/>
          <w:szCs w:val="24"/>
        </w:rPr>
      </w:pPr>
      <w:r w:rsidRPr="00736445">
        <w:rPr>
          <w:noProof/>
          <w:sz w:val="24"/>
          <w:szCs w:val="24"/>
        </w:rPr>
        <w:t xml:space="preserve">Burroughs, A. (2012). </w:t>
      </w:r>
      <w:r w:rsidRPr="00736445">
        <w:rPr>
          <w:i/>
          <w:iCs/>
          <w:noProof/>
          <w:sz w:val="24"/>
          <w:szCs w:val="24"/>
        </w:rPr>
        <w:t>Stedman's Medical Dictioniary for the Health Professions and Nursing.</w:t>
      </w:r>
      <w:r w:rsidRPr="00736445">
        <w:rPr>
          <w:noProof/>
          <w:sz w:val="24"/>
          <w:szCs w:val="24"/>
        </w:rPr>
        <w:t xml:space="preserve"> Philadelphia, PA: Lippincott Williams &amp; Wilkins.</w:t>
      </w:r>
    </w:p>
    <w:p w:rsidR="00736445" w:rsidRPr="00736445" w:rsidRDefault="00736445" w:rsidP="00736445">
      <w:pPr>
        <w:pStyle w:val="Bibliography"/>
        <w:spacing w:line="480" w:lineRule="auto"/>
        <w:ind w:left="720" w:hanging="720"/>
        <w:rPr>
          <w:noProof/>
          <w:sz w:val="24"/>
          <w:szCs w:val="24"/>
        </w:rPr>
      </w:pPr>
      <w:r w:rsidRPr="00736445">
        <w:rPr>
          <w:noProof/>
          <w:sz w:val="24"/>
          <w:szCs w:val="24"/>
        </w:rPr>
        <w:t xml:space="preserve">Cherniak, E. P. (2007, September ). </w:t>
      </w:r>
      <w:r w:rsidRPr="00736445">
        <w:rPr>
          <w:i/>
          <w:iCs/>
          <w:noProof/>
          <w:sz w:val="24"/>
          <w:szCs w:val="24"/>
        </w:rPr>
        <w:t>Emerging therapies to treat frailty syndrome in the elderly</w:t>
      </w:r>
      <w:r w:rsidRPr="00736445">
        <w:rPr>
          <w:noProof/>
          <w:sz w:val="24"/>
          <w:szCs w:val="24"/>
        </w:rPr>
        <w:t>. Retrieved from Life &amp; Health Library: www.findarticles.com</w:t>
      </w:r>
    </w:p>
    <w:p w:rsidR="00736445" w:rsidRPr="00736445" w:rsidRDefault="00736445" w:rsidP="00736445">
      <w:pPr>
        <w:pStyle w:val="Bibliography"/>
        <w:spacing w:line="480" w:lineRule="auto"/>
        <w:ind w:left="720" w:hanging="720"/>
        <w:rPr>
          <w:noProof/>
          <w:sz w:val="24"/>
          <w:szCs w:val="24"/>
        </w:rPr>
      </w:pPr>
      <w:r w:rsidRPr="00736445">
        <w:rPr>
          <w:noProof/>
          <w:sz w:val="24"/>
          <w:szCs w:val="24"/>
        </w:rPr>
        <w:t xml:space="preserve">Espinoza, S. E. (2007, June 6). </w:t>
      </w:r>
      <w:r w:rsidRPr="00736445">
        <w:rPr>
          <w:i/>
          <w:iCs/>
          <w:noProof/>
          <w:sz w:val="24"/>
          <w:szCs w:val="24"/>
        </w:rPr>
        <w:t>Risk Factor for Frailty in the Older Adult</w:t>
      </w:r>
      <w:r w:rsidRPr="00736445">
        <w:rPr>
          <w:noProof/>
          <w:sz w:val="24"/>
          <w:szCs w:val="24"/>
        </w:rPr>
        <w:t>. Retrieved from Portal Mayores: www.imersomayores.scic.ed</w:t>
      </w:r>
    </w:p>
    <w:p w:rsidR="00736445" w:rsidRDefault="00C913ED" w:rsidP="00736445">
      <w:pPr>
        <w:pStyle w:val="APA"/>
      </w:pPr>
      <w:r w:rsidRPr="00736445">
        <w:rPr>
          <w:szCs w:val="24"/>
        </w:rPr>
        <w:fldChar w:fldCharType="end"/>
      </w:r>
      <w:bookmarkStart w:id="16" w:name="_GoBack"/>
      <w:bookmarkEnd w:id="16"/>
    </w:p>
    <w:p w:rsidR="00736445" w:rsidRDefault="00736445" w:rsidP="00B4077A">
      <w:pPr>
        <w:pStyle w:val="APA"/>
      </w:pPr>
    </w:p>
    <w:sectPr w:rsidR="00736445" w:rsidSect="00E063CC">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2-02-28T21:13:00Z" w:initials="M">
    <w:p w:rsidR="00097E68" w:rsidRDefault="00097E68">
      <w:pPr>
        <w:pStyle w:val="CommentText"/>
      </w:pPr>
      <w:r>
        <w:rPr>
          <w:rStyle w:val="CommentReference"/>
        </w:rPr>
        <w:annotationRef/>
      </w:r>
      <w:r>
        <w:t>Need both authors</w:t>
      </w:r>
    </w:p>
  </w:comment>
  <w:comment w:id="9" w:author="Mary" w:date="2012-02-28T21:13:00Z" w:initials="M">
    <w:p w:rsidR="00097E68" w:rsidRDefault="00097E68">
      <w:pPr>
        <w:pStyle w:val="CommentText"/>
      </w:pPr>
      <w:r>
        <w:rPr>
          <w:rStyle w:val="CommentReference"/>
        </w:rPr>
        <w:annotationRef/>
      </w:r>
      <w:r>
        <w:t>Same as above</w:t>
      </w:r>
    </w:p>
  </w:comment>
  <w:comment w:id="10" w:author="Mary" w:date="2012-02-28T21:14:00Z" w:initials="M">
    <w:p w:rsidR="00097E68" w:rsidRDefault="00097E68">
      <w:pPr>
        <w:pStyle w:val="CommentText"/>
      </w:pPr>
      <w:r>
        <w:rPr>
          <w:rStyle w:val="CommentReference"/>
        </w:rPr>
        <w:annotationRef/>
      </w:r>
      <w:proofErr w:type="gramStart"/>
      <w:r>
        <w:t>same</w:t>
      </w:r>
      <w:proofErr w:type="gramEnd"/>
    </w:p>
  </w:comment>
  <w:comment w:id="11" w:author="Mary" w:date="2012-02-28T21:15:00Z" w:initials="M">
    <w:p w:rsidR="00097E68" w:rsidRDefault="00097E68">
      <w:pPr>
        <w:pStyle w:val="CommentText"/>
      </w:pPr>
      <w:r>
        <w:rPr>
          <w:rStyle w:val="CommentReference"/>
        </w:rPr>
        <w:annotationRef/>
      </w:r>
      <w:proofErr w:type="gramStart"/>
      <w:r>
        <w:t>need</w:t>
      </w:r>
      <w:proofErr w:type="gramEnd"/>
      <w:r>
        <w:t xml:space="preserve"> both authors</w:t>
      </w:r>
    </w:p>
  </w:comment>
  <w:comment w:id="12" w:author="Mary" w:date="2012-02-28T21:15:00Z" w:initials="M">
    <w:p w:rsidR="00097E68" w:rsidRDefault="00097E68">
      <w:pPr>
        <w:pStyle w:val="CommentText"/>
      </w:pPr>
      <w:r>
        <w:rPr>
          <w:rStyle w:val="CommentReference"/>
        </w:rPr>
        <w:annotationRef/>
      </w:r>
      <w:proofErr w:type="gramStart"/>
      <w:r>
        <w:t>can</w:t>
      </w:r>
      <w:proofErr w:type="gramEnd"/>
      <w:r>
        <w:t xml:space="preserve"> you just assume?</w:t>
      </w:r>
    </w:p>
  </w:comment>
  <w:comment w:id="13" w:author="Mary" w:date="2012-02-28T21:17:00Z" w:initials="M">
    <w:p w:rsidR="00097E68" w:rsidRDefault="00097E68">
      <w:pPr>
        <w:pStyle w:val="CommentText"/>
      </w:pPr>
      <w:r>
        <w:rPr>
          <w:rStyle w:val="CommentReference"/>
        </w:rPr>
        <w:annotationRef/>
      </w:r>
      <w:r>
        <w:t>Same as above</w:t>
      </w:r>
    </w:p>
  </w:comment>
  <w:comment w:id="14" w:author="Mary" w:date="2012-02-28T21:17:00Z" w:initials="M">
    <w:p w:rsidR="00097E68" w:rsidRDefault="00097E68">
      <w:pPr>
        <w:pStyle w:val="CommentText"/>
      </w:pPr>
      <w:r>
        <w:rPr>
          <w:rStyle w:val="CommentReference"/>
        </w:rPr>
        <w:annotationRef/>
      </w:r>
      <w:r>
        <w:t>This article has 2 authors</w:t>
      </w:r>
    </w:p>
  </w:comment>
  <w:comment w:id="15" w:author="Mary" w:date="2012-02-28T21:25:00Z" w:initials="M">
    <w:p w:rsidR="00097E68" w:rsidRDefault="00097E68">
      <w:pPr>
        <w:pStyle w:val="CommentText"/>
      </w:pPr>
      <w:r>
        <w:rPr>
          <w:rStyle w:val="CommentReference"/>
        </w:rPr>
        <w:annotationRef/>
      </w:r>
      <w:r>
        <w:t xml:space="preserve">This article has </w:t>
      </w:r>
      <w:r w:rsidR="00AD0E3C">
        <w:t>m</w:t>
      </w:r>
      <w:r>
        <w:t>ore than 1 author also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C4C" w:rsidRDefault="00870C4C">
      <w:r>
        <w:separator/>
      </w:r>
    </w:p>
  </w:endnote>
  <w:endnote w:type="continuationSeparator" w:id="0">
    <w:p w:rsidR="00870C4C" w:rsidRDefault="00870C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3CC" w:rsidRDefault="00E063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3CC" w:rsidRDefault="00E063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3CC" w:rsidRDefault="00E063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C4C" w:rsidRDefault="00870C4C">
      <w:r>
        <w:separator/>
      </w:r>
    </w:p>
  </w:footnote>
  <w:footnote w:type="continuationSeparator" w:id="0">
    <w:p w:rsidR="00870C4C" w:rsidRDefault="00870C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3CC" w:rsidRDefault="00E063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3CC" w:rsidRPr="00E063CC" w:rsidRDefault="00E063CC" w:rsidP="00E063CC">
    <w:pPr>
      <w:pStyle w:val="APAPageHeading"/>
    </w:pPr>
    <w:r>
      <w:t>CASE STUDY 5.2</w:t>
    </w:r>
    <w:r>
      <w:tab/>
    </w:r>
    <w:r w:rsidR="00C913ED">
      <w:fldChar w:fldCharType="begin"/>
    </w:r>
    <w:r>
      <w:instrText xml:space="preserve"> PAGE  \* MERGEFORMAT </w:instrText>
    </w:r>
    <w:r w:rsidR="00C913ED">
      <w:fldChar w:fldCharType="separate"/>
    </w:r>
    <w:r w:rsidR="00AD0E3C">
      <w:rPr>
        <w:noProof/>
      </w:rPr>
      <w:t>3</w:t>
    </w:r>
    <w:r w:rsidR="00C913ED">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3CC" w:rsidRPr="00E063CC" w:rsidRDefault="00E063CC" w:rsidP="00E063CC">
    <w:pPr>
      <w:pStyle w:val="APAPageHeading"/>
    </w:pPr>
    <w:r>
      <w:t>Running head: CASE STUDY 5.2</w:t>
    </w:r>
    <w:r>
      <w:tab/>
    </w:r>
    <w:r w:rsidR="00C913ED">
      <w:fldChar w:fldCharType="begin"/>
    </w:r>
    <w:r>
      <w:instrText xml:space="preserve"> PAGE  \* MERGEFORMAT </w:instrText>
    </w:r>
    <w:r w:rsidR="00C913ED">
      <w:fldChar w:fldCharType="separate"/>
    </w:r>
    <w:r w:rsidR="00AD0E3C">
      <w:rPr>
        <w:noProof/>
      </w:rPr>
      <w:t>1</w:t>
    </w:r>
    <w:r w:rsidR="00C913ED">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3CC" w:rsidRPr="00E063CC" w:rsidRDefault="00E063CC" w:rsidP="00E063CC">
    <w:pPr>
      <w:pStyle w:val="APAPageHeading"/>
    </w:pPr>
    <w:r>
      <w:t>CASE STUDY 5.2</w:t>
    </w:r>
    <w:r>
      <w:tab/>
    </w:r>
    <w:r w:rsidR="00C913ED">
      <w:fldChar w:fldCharType="begin"/>
    </w:r>
    <w:r>
      <w:instrText xml:space="preserve"> PAGE  \* MERGEFORMAT </w:instrText>
    </w:r>
    <w:r w:rsidR="00C913ED">
      <w:fldChar w:fldCharType="separate"/>
    </w:r>
    <w:r w:rsidR="00AD0E3C">
      <w:rPr>
        <w:noProof/>
      </w:rPr>
      <w:t>2</w:t>
    </w:r>
    <w:r w:rsidR="00C913ED">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33325"/>
    <w:multiLevelType w:val="hybridMultilevel"/>
    <w:tmpl w:val="6BA4F1F6"/>
    <w:lvl w:ilvl="0" w:tplc="79E01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0F7156C"/>
    <w:multiLevelType w:val="hybridMultilevel"/>
    <w:tmpl w:val="D2604734"/>
    <w:lvl w:ilvl="0" w:tplc="629EA2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docVars>
    <w:docVar w:name="bmHeaderInfo" w:val="CASE STUDY 5.2"/>
    <w:docVar w:name="cIsAbstract" w:val="False"/>
    <w:docVar w:name="cPaperAPAOrMLA" w:val="1"/>
    <w:docVar w:name="cUniquePaperID" w:val="409545230902778I0"/>
    <w:docVar w:name="LastEditedVersion" w:val="5"/>
  </w:docVars>
  <w:rsids>
    <w:rsidRoot w:val="00E063CC"/>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263D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4A39"/>
    <w:rsid w:val="000951BD"/>
    <w:rsid w:val="0009552B"/>
    <w:rsid w:val="000968B7"/>
    <w:rsid w:val="00097E68"/>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4B70"/>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55CA"/>
    <w:rsid w:val="001B6C27"/>
    <w:rsid w:val="001B6E9D"/>
    <w:rsid w:val="001C063D"/>
    <w:rsid w:val="001C1746"/>
    <w:rsid w:val="001C28D2"/>
    <w:rsid w:val="001C2AE1"/>
    <w:rsid w:val="001C32FC"/>
    <w:rsid w:val="001C5744"/>
    <w:rsid w:val="001C5C5E"/>
    <w:rsid w:val="001C5EA2"/>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17010"/>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4805"/>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1CF7"/>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129F"/>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37CDB"/>
    <w:rsid w:val="00443D91"/>
    <w:rsid w:val="00444BD7"/>
    <w:rsid w:val="00446BE4"/>
    <w:rsid w:val="0044745A"/>
    <w:rsid w:val="00450181"/>
    <w:rsid w:val="0045042B"/>
    <w:rsid w:val="00450F52"/>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5A46"/>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3574"/>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267"/>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445"/>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0C4C"/>
    <w:rsid w:val="00871EE8"/>
    <w:rsid w:val="00873598"/>
    <w:rsid w:val="00873B35"/>
    <w:rsid w:val="00873EA4"/>
    <w:rsid w:val="00874297"/>
    <w:rsid w:val="00875013"/>
    <w:rsid w:val="00875898"/>
    <w:rsid w:val="00876951"/>
    <w:rsid w:val="00880638"/>
    <w:rsid w:val="0088195F"/>
    <w:rsid w:val="008829F5"/>
    <w:rsid w:val="008831DD"/>
    <w:rsid w:val="00884B65"/>
    <w:rsid w:val="0088540E"/>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4F31"/>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310"/>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0E3C"/>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1537"/>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3F7"/>
    <w:rsid w:val="00B135CA"/>
    <w:rsid w:val="00B14AE7"/>
    <w:rsid w:val="00B14BF4"/>
    <w:rsid w:val="00B157DA"/>
    <w:rsid w:val="00B15BA0"/>
    <w:rsid w:val="00B161F0"/>
    <w:rsid w:val="00B17895"/>
    <w:rsid w:val="00B21EE4"/>
    <w:rsid w:val="00B25C01"/>
    <w:rsid w:val="00B27413"/>
    <w:rsid w:val="00B3156C"/>
    <w:rsid w:val="00B34B6C"/>
    <w:rsid w:val="00B37BBA"/>
    <w:rsid w:val="00B37BEA"/>
    <w:rsid w:val="00B4077A"/>
    <w:rsid w:val="00B409AC"/>
    <w:rsid w:val="00B41AED"/>
    <w:rsid w:val="00B42FDA"/>
    <w:rsid w:val="00B43BD8"/>
    <w:rsid w:val="00B46094"/>
    <w:rsid w:val="00B5186D"/>
    <w:rsid w:val="00B51F26"/>
    <w:rsid w:val="00B5444C"/>
    <w:rsid w:val="00B55C8B"/>
    <w:rsid w:val="00B61AC2"/>
    <w:rsid w:val="00B61F5F"/>
    <w:rsid w:val="00B62B4A"/>
    <w:rsid w:val="00B6348B"/>
    <w:rsid w:val="00B63935"/>
    <w:rsid w:val="00B65BBB"/>
    <w:rsid w:val="00B65BDC"/>
    <w:rsid w:val="00B66928"/>
    <w:rsid w:val="00B6697E"/>
    <w:rsid w:val="00B678E2"/>
    <w:rsid w:val="00B70065"/>
    <w:rsid w:val="00B708B6"/>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3ED"/>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699"/>
    <w:rsid w:val="00CB4868"/>
    <w:rsid w:val="00CB5E90"/>
    <w:rsid w:val="00CB6066"/>
    <w:rsid w:val="00CB64B0"/>
    <w:rsid w:val="00CC1BAD"/>
    <w:rsid w:val="00CC224F"/>
    <w:rsid w:val="00CC27EE"/>
    <w:rsid w:val="00CC2C47"/>
    <w:rsid w:val="00CC2FB1"/>
    <w:rsid w:val="00CC339D"/>
    <w:rsid w:val="00CC33B4"/>
    <w:rsid w:val="00CC3A72"/>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25BD"/>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2338"/>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063CC"/>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B2C"/>
    <w:rsid w:val="00E440FB"/>
    <w:rsid w:val="00E46C37"/>
    <w:rsid w:val="00E51080"/>
    <w:rsid w:val="00E51538"/>
    <w:rsid w:val="00E530D4"/>
    <w:rsid w:val="00E56558"/>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1AE"/>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 w:val="00FF5294"/>
    <w:rsid w:val="00FF65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13E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13ED"/>
    <w:pPr>
      <w:tabs>
        <w:tab w:val="center" w:pos="4320"/>
        <w:tab w:val="right" w:pos="8640"/>
      </w:tabs>
    </w:pPr>
  </w:style>
  <w:style w:type="paragraph" w:customStyle="1" w:styleId="APA">
    <w:name w:val="APA"/>
    <w:basedOn w:val="BodyText"/>
    <w:rsid w:val="00C913ED"/>
    <w:pPr>
      <w:spacing w:after="0" w:line="480" w:lineRule="auto"/>
      <w:ind w:firstLine="720"/>
    </w:pPr>
    <w:rPr>
      <w:sz w:val="24"/>
    </w:rPr>
  </w:style>
  <w:style w:type="paragraph" w:styleId="BodyText">
    <w:name w:val="Body Text"/>
    <w:basedOn w:val="Normal"/>
    <w:rsid w:val="00C913ED"/>
    <w:pPr>
      <w:spacing w:after="120"/>
    </w:pPr>
  </w:style>
  <w:style w:type="paragraph" w:styleId="Footer">
    <w:name w:val="footer"/>
    <w:basedOn w:val="Normal"/>
    <w:rsid w:val="00C913ED"/>
    <w:pPr>
      <w:tabs>
        <w:tab w:val="center" w:pos="4320"/>
        <w:tab w:val="right" w:pos="8640"/>
      </w:tabs>
    </w:pPr>
  </w:style>
  <w:style w:type="character" w:styleId="PageNumber">
    <w:name w:val="page number"/>
    <w:basedOn w:val="DefaultParagraphFont"/>
    <w:rsid w:val="00C913ED"/>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C913ED"/>
    <w:pPr>
      <w:ind w:left="720" w:firstLine="0"/>
    </w:pPr>
  </w:style>
  <w:style w:type="paragraph" w:customStyle="1" w:styleId="APABlockQuoteSubsequentPara">
    <w:name w:val="APA Block Quote Subsequent Para"/>
    <w:basedOn w:val="APA"/>
    <w:next w:val="APA"/>
    <w:rsid w:val="00C913ED"/>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C913ED"/>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C913ED"/>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BalloonText">
    <w:name w:val="Balloon Text"/>
    <w:basedOn w:val="Normal"/>
    <w:link w:val="BalloonTextChar"/>
    <w:rsid w:val="00AF1537"/>
    <w:rPr>
      <w:rFonts w:ascii="Tahoma" w:hAnsi="Tahoma" w:cs="Tahoma"/>
      <w:sz w:val="16"/>
      <w:szCs w:val="16"/>
    </w:rPr>
  </w:style>
  <w:style w:type="character" w:customStyle="1" w:styleId="BalloonTextChar">
    <w:name w:val="Balloon Text Char"/>
    <w:basedOn w:val="DefaultParagraphFont"/>
    <w:link w:val="BalloonText"/>
    <w:rsid w:val="00AF1537"/>
    <w:rPr>
      <w:rFonts w:ascii="Tahoma" w:hAnsi="Tahoma" w:cs="Tahoma"/>
      <w:sz w:val="16"/>
      <w:szCs w:val="16"/>
    </w:rPr>
  </w:style>
  <w:style w:type="paragraph" w:styleId="Bibliography">
    <w:name w:val="Bibliography"/>
    <w:basedOn w:val="Normal"/>
    <w:next w:val="Normal"/>
    <w:uiPriority w:val="37"/>
    <w:unhideWhenUsed/>
    <w:rsid w:val="00736445"/>
  </w:style>
  <w:style w:type="character" w:styleId="CommentReference">
    <w:name w:val="annotation reference"/>
    <w:basedOn w:val="DefaultParagraphFont"/>
    <w:rsid w:val="00097E68"/>
    <w:rPr>
      <w:sz w:val="16"/>
      <w:szCs w:val="16"/>
    </w:rPr>
  </w:style>
  <w:style w:type="paragraph" w:styleId="CommentText">
    <w:name w:val="annotation text"/>
    <w:basedOn w:val="Normal"/>
    <w:link w:val="CommentTextChar"/>
    <w:rsid w:val="00097E68"/>
  </w:style>
  <w:style w:type="character" w:customStyle="1" w:styleId="CommentTextChar">
    <w:name w:val="Comment Text Char"/>
    <w:basedOn w:val="DefaultParagraphFont"/>
    <w:link w:val="CommentText"/>
    <w:rsid w:val="00097E68"/>
  </w:style>
  <w:style w:type="paragraph" w:styleId="CommentSubject">
    <w:name w:val="annotation subject"/>
    <w:basedOn w:val="CommentText"/>
    <w:next w:val="CommentText"/>
    <w:link w:val="CommentSubjectChar"/>
    <w:rsid w:val="00097E68"/>
    <w:rPr>
      <w:b/>
      <w:bCs/>
    </w:rPr>
  </w:style>
  <w:style w:type="character" w:customStyle="1" w:styleId="CommentSubjectChar">
    <w:name w:val="Comment Subject Char"/>
    <w:basedOn w:val="CommentTextChar"/>
    <w:link w:val="CommentSubject"/>
    <w:rsid w:val="00097E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BalloonText">
    <w:name w:val="Balloon Text"/>
    <w:basedOn w:val="Normal"/>
    <w:link w:val="BalloonTextChar"/>
    <w:rsid w:val="00AF1537"/>
    <w:rPr>
      <w:rFonts w:ascii="Tahoma" w:hAnsi="Tahoma" w:cs="Tahoma"/>
      <w:sz w:val="16"/>
      <w:szCs w:val="16"/>
    </w:rPr>
  </w:style>
  <w:style w:type="character" w:customStyle="1" w:styleId="BalloonTextChar">
    <w:name w:val="Balloon Text Char"/>
    <w:basedOn w:val="DefaultParagraphFont"/>
    <w:link w:val="BalloonText"/>
    <w:rsid w:val="00AF1537"/>
    <w:rPr>
      <w:rFonts w:ascii="Tahoma" w:hAnsi="Tahoma" w:cs="Tahoma"/>
      <w:sz w:val="16"/>
      <w:szCs w:val="16"/>
    </w:rPr>
  </w:style>
  <w:style w:type="paragraph" w:styleId="Bibliography">
    <w:name w:val="Bibliography"/>
    <w:basedOn w:val="Normal"/>
    <w:next w:val="Normal"/>
    <w:uiPriority w:val="37"/>
    <w:unhideWhenUsed/>
    <w:rsid w:val="00736445"/>
  </w:style>
</w:styles>
</file>

<file path=word/webSettings.xml><?xml version="1.0" encoding="utf-8"?>
<w:webSettings xmlns:r="http://schemas.openxmlformats.org/officeDocument/2006/relationships" xmlns:w="http://schemas.openxmlformats.org/wordprocessingml/2006/main">
  <w:divs>
    <w:div w:id="1352298353">
      <w:bodyDiv w:val="1"/>
      <w:marLeft w:val="0"/>
      <w:marRight w:val="0"/>
      <w:marTop w:val="0"/>
      <w:marBottom w:val="0"/>
      <w:divBdr>
        <w:top w:val="none" w:sz="0" w:space="0" w:color="auto"/>
        <w:left w:val="none" w:sz="0" w:space="0" w:color="auto"/>
        <w:bottom w:val="none" w:sz="0" w:space="0" w:color="auto"/>
        <w:right w:val="none" w:sz="0" w:space="0" w:color="auto"/>
      </w:divBdr>
      <w:divsChild>
        <w:div w:id="1759790974">
          <w:marLeft w:val="0"/>
          <w:marRight w:val="0"/>
          <w:marTop w:val="210"/>
          <w:marBottom w:val="210"/>
          <w:divBdr>
            <w:top w:val="none" w:sz="0" w:space="0" w:color="auto"/>
            <w:left w:val="none" w:sz="0" w:space="0" w:color="auto"/>
            <w:bottom w:val="none" w:sz="0" w:space="0" w:color="auto"/>
            <w:right w:val="none" w:sz="0" w:space="0" w:color="auto"/>
          </w:divBdr>
          <w:divsChild>
            <w:div w:id="840006374">
              <w:marLeft w:val="0"/>
              <w:marRight w:val="0"/>
              <w:marTop w:val="0"/>
              <w:marBottom w:val="0"/>
              <w:divBdr>
                <w:top w:val="none" w:sz="0" w:space="0" w:color="auto"/>
                <w:left w:val="none" w:sz="0" w:space="0" w:color="auto"/>
                <w:bottom w:val="none" w:sz="0" w:space="0" w:color="auto"/>
                <w:right w:val="none" w:sz="0" w:space="0" w:color="auto"/>
              </w:divBdr>
              <w:divsChild>
                <w:div w:id="1543517829">
                  <w:marLeft w:val="0"/>
                  <w:marRight w:val="0"/>
                  <w:marTop w:val="0"/>
                  <w:marBottom w:val="0"/>
                  <w:divBdr>
                    <w:top w:val="none" w:sz="0" w:space="0" w:color="auto"/>
                    <w:left w:val="none" w:sz="0" w:space="0" w:color="auto"/>
                    <w:bottom w:val="none" w:sz="0" w:space="0" w:color="auto"/>
                    <w:right w:val="none" w:sz="0" w:space="0" w:color="auto"/>
                  </w:divBdr>
                  <w:divsChild>
                    <w:div w:id="12558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Ste12</b:Tag>
    <b:SourceType>Book</b:SourceType>
    <b:Guid>{C55A60AA-26BA-4673-81AB-DC86B3BED98A}</b:Guid>
    <b:Title>Stedman's Medical Dictioniary for the Health Professions and Nursing</b:Title>
    <b:Year>2012</b:Year>
    <b:City>Philadelphia, PA</b:City>
    <b:Publisher>Lippincott Williams &amp; Wilkins</b:Publisher>
    <b:Author>
      <b:Author>
        <b:NameList>
          <b:Person>
            <b:Last>Burroughs</b:Last>
            <b:First>Amy</b:First>
          </b:Person>
        </b:NameList>
      </b:Author>
    </b:Author>
    <b:RefOrder>2</b:RefOrder>
  </b:Source>
  <b:Source>
    <b:Tag>Esp07</b:Tag>
    <b:SourceType>InternetSite</b:SourceType>
    <b:Guid>{21056E1E-51DA-48AF-B3E3-2A4FDE6E5230}</b:Guid>
    <b:Author>
      <b:Author>
        <b:NameList>
          <b:Person>
            <b:Last>Espinoza</b:Last>
            <b:First>Sara</b:First>
            <b:Middle>E., Fried, Lisa P.</b:Middle>
          </b:Person>
        </b:NameList>
      </b:Author>
    </b:Author>
    <b:Title>Risk Factor for Frailty in the Older Adult</b:Title>
    <b:InternetSiteTitle>Portal Mayores</b:InternetSiteTitle>
    <b:Year>2007</b:Year>
    <b:Month>June</b:Month>
    <b:Day>6</b:Day>
    <b:URL>www.imersomayores.scic.ed</b:URL>
    <b:RefOrder>3</b:RefOrder>
  </b:Source>
  <b:Source>
    <b:Tag>Ben07</b:Tag>
    <b:SourceType>InternetSite</b:SourceType>
    <b:Guid>{2116FE43-4250-4397-BEF8-2E711FB9963D}</b:Guid>
    <b:Author>
      <b:Author>
        <b:NameList>
          <b:Person>
            <b:Last>Benefield</b:Last>
            <b:First>Lazelle</b:First>
            <b:Middle>E., Higbee Rachel L.</b:Middle>
          </b:Person>
        </b:NameList>
      </b:Author>
    </b:Author>
    <b:Title>Frailty and Its Implications for Care</b:Title>
    <b:InternetSiteTitle>ConsultGeriRN.org</b:InternetSiteTitle>
    <b:Year>2007</b:Year>
    <b:Month>April</b:Month>
    <b:URL>www.consultgerirn.org</b:URL>
    <b:RefOrder>1</b:RefOrder>
  </b:Source>
  <b:Source>
    <b:Tag>Che07</b:Tag>
    <b:SourceType>InternetSite</b:SourceType>
    <b:Guid>{D1B28185-67E9-4BFD-95EB-C8B7D447CC44}</b:Guid>
    <b:Author>
      <b:Author>
        <b:NameList>
          <b:Person>
            <b:Last>Cherniak</b:Last>
            <b:First>E.</b:First>
            <b:Middle>Paul, Florez, Hermes J., Troen, Bruce R.</b:Middle>
          </b:Person>
        </b:NameList>
      </b:Author>
    </b:Author>
    <b:Title>Emerging therapies to treat frailty syndrome in the elderly</b:Title>
    <b:InternetSiteTitle>Life &amp; Health Library</b:InternetSiteTitle>
    <b:Year>2007</b:Year>
    <b:Month>September </b:Month>
    <b:URL>www.findarticles.com</b:URL>
    <b:RefOrder>4</b:RefOrder>
  </b:Source>
</b:Sources>
</file>

<file path=customXml/itemProps1.xml><?xml version="1.0" encoding="utf-8"?>
<ds:datastoreItem xmlns:ds="http://schemas.openxmlformats.org/officeDocument/2006/customXml" ds:itemID="{6A788974-6DFA-40EF-82F2-1F2CB7C38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Template>
  <TotalTime>4</TotalTime>
  <Pages>6</Pages>
  <Words>1271</Words>
  <Characters>7819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Case Study 5.2</vt:lpstr>
    </vt:vector>
  </TitlesOfParts>
  <Company/>
  <LinksUpToDate>false</LinksUpToDate>
  <CharactersWithSpaces>9072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5.2</dc:title>
  <dc:subject>Copyright</dc:subject>
  <dc:creator>Debra Decker</dc:creator>
  <cp:lastModifiedBy>Mary</cp:lastModifiedBy>
  <cp:revision>2</cp:revision>
  <dcterms:created xsi:type="dcterms:W3CDTF">2012-02-29T03:27:00Z</dcterms:created>
  <dcterms:modified xsi:type="dcterms:W3CDTF">2012-02-29T03:27:00Z</dcterms:modified>
</cp:coreProperties>
</file>