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5E102A">
      <w:pPr>
        <w:pStyle w:val="APA"/>
      </w:pPr>
    </w:p>
    <w:p w:rsidR="005E102A" w:rsidRDefault="005E102A" w:rsidP="005E102A">
      <w:pPr>
        <w:pStyle w:val="APA"/>
      </w:pPr>
    </w:p>
    <w:p w:rsidR="005E102A" w:rsidRPr="0082188A" w:rsidRDefault="0082188A" w:rsidP="005E102A">
      <w:pPr>
        <w:pStyle w:val="APA"/>
        <w:rPr>
          <w:color w:val="FF0000"/>
        </w:rPr>
      </w:pPr>
      <w:bookmarkStart w:id="0" w:name="_GoBack"/>
      <w:r w:rsidRPr="0082188A">
        <w:rPr>
          <w:color w:val="FF0000"/>
        </w:rPr>
        <w:t xml:space="preserve">14.5/15 </w:t>
      </w:r>
      <w:proofErr w:type="gramStart"/>
      <w:r w:rsidRPr="0082188A">
        <w:rPr>
          <w:color w:val="FF0000"/>
        </w:rPr>
        <w:t>see</w:t>
      </w:r>
      <w:proofErr w:type="gramEnd"/>
      <w:r w:rsidRPr="0082188A">
        <w:rPr>
          <w:color w:val="FF0000"/>
        </w:rPr>
        <w:t xml:space="preserve"> ref </w:t>
      </w:r>
      <w:proofErr w:type="spellStart"/>
      <w:r w:rsidRPr="0082188A">
        <w:rPr>
          <w:color w:val="FF0000"/>
        </w:rPr>
        <w:t>pg</w:t>
      </w:r>
      <w:proofErr w:type="spellEnd"/>
    </w:p>
    <w:bookmarkEnd w:id="0"/>
    <w:p w:rsidR="005E102A" w:rsidRDefault="005E102A" w:rsidP="005E102A">
      <w:pPr>
        <w:pStyle w:val="APA"/>
      </w:pPr>
    </w:p>
    <w:p w:rsidR="005E102A" w:rsidRDefault="005E102A" w:rsidP="005E102A">
      <w:pPr>
        <w:pStyle w:val="APA"/>
      </w:pPr>
    </w:p>
    <w:p w:rsidR="005E102A" w:rsidRDefault="005E102A" w:rsidP="005E102A">
      <w:pPr>
        <w:pStyle w:val="APA"/>
      </w:pPr>
    </w:p>
    <w:p w:rsidR="005E102A" w:rsidRDefault="005E102A" w:rsidP="005E102A">
      <w:pPr>
        <w:pStyle w:val="APAHeadingCenter"/>
      </w:pPr>
      <w:bookmarkStart w:id="1" w:name="bmTitlePageTitle"/>
      <w:r>
        <w:t>Case Study 18.1 and 18.2</w:t>
      </w:r>
      <w:bookmarkEnd w:id="1"/>
    </w:p>
    <w:p w:rsidR="005E102A" w:rsidRDefault="005E102A" w:rsidP="005E102A">
      <w:pPr>
        <w:pStyle w:val="APAHeadingCenter"/>
      </w:pPr>
      <w:bookmarkStart w:id="2" w:name="bmTitlePageName"/>
      <w:r>
        <w:t>Debra Decker</w:t>
      </w:r>
      <w:bookmarkEnd w:id="2"/>
    </w:p>
    <w:p w:rsidR="005E102A" w:rsidRDefault="005E102A" w:rsidP="005E102A">
      <w:pPr>
        <w:pStyle w:val="APAHeadingCenter"/>
      </w:pPr>
      <w:bookmarkStart w:id="3" w:name="bmTitlePageInst"/>
      <w:r>
        <w:t>Lakeview College of Nursing</w:t>
      </w:r>
      <w:bookmarkEnd w:id="3"/>
    </w:p>
    <w:p w:rsidR="005E102A" w:rsidRDefault="005E102A" w:rsidP="005E102A">
      <w:pPr>
        <w:pStyle w:val="APAHeadingCenter"/>
      </w:pPr>
      <w:bookmarkStart w:id="4" w:name="bmTitleAdd1"/>
      <w:r>
        <w:t>Nursing of the Gerontological Client</w:t>
      </w:r>
      <w:bookmarkEnd w:id="4"/>
    </w:p>
    <w:p w:rsidR="005E102A" w:rsidRDefault="005E102A" w:rsidP="005E102A">
      <w:pPr>
        <w:pStyle w:val="APAHeadingCenter"/>
      </w:pPr>
      <w:bookmarkStart w:id="5" w:name="bmTitleAdd2"/>
      <w:bookmarkStart w:id="6" w:name="bmTitleAdd3"/>
      <w:bookmarkEnd w:id="5"/>
      <w:r>
        <w:t>Mary Edwards RN, MSN</w:t>
      </w:r>
      <w:bookmarkEnd w:id="6"/>
    </w:p>
    <w:p w:rsidR="005E102A" w:rsidRDefault="00205783" w:rsidP="005E102A">
      <w:pPr>
        <w:pStyle w:val="APAHeadingCenter"/>
      </w:pPr>
      <w:bookmarkStart w:id="7" w:name="bmTitleAdd4"/>
      <w:r>
        <w:t>March 31</w:t>
      </w:r>
      <w:r w:rsidR="005E102A">
        <w:t>, 2012</w:t>
      </w:r>
      <w:bookmarkEnd w:id="7"/>
    </w:p>
    <w:p w:rsidR="005E102A" w:rsidRDefault="005E102A" w:rsidP="005E102A">
      <w:pPr>
        <w:pStyle w:val="APA"/>
        <w:sectPr w:rsidR="005E102A" w:rsidSect="005E10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5E102A" w:rsidRDefault="005E102A" w:rsidP="005E102A">
      <w:pPr>
        <w:pStyle w:val="APA"/>
        <w:sectPr w:rsidR="005E102A" w:rsidSect="005E102A">
          <w:headerReference w:type="first" r:id="rId14"/>
          <w:type w:val="continuous"/>
          <w:pgSz w:w="12240" w:h="15840" w:code="1"/>
          <w:pgMar w:top="1440" w:right="1440" w:bottom="1440" w:left="1440" w:header="720" w:footer="720" w:gutter="0"/>
          <w:cols w:space="720"/>
          <w:titlePg/>
          <w:docGrid w:linePitch="360"/>
        </w:sectPr>
      </w:pPr>
    </w:p>
    <w:p w:rsidR="005E102A" w:rsidRDefault="005E102A" w:rsidP="005E102A">
      <w:pPr>
        <w:pStyle w:val="APAHeadingCenter"/>
      </w:pPr>
      <w:bookmarkStart w:id="8" w:name="bmFirstPageTitle"/>
      <w:r>
        <w:lastRenderedPageBreak/>
        <w:t>Case Study 18.1 and 18.2</w:t>
      </w:r>
      <w:bookmarkEnd w:id="8"/>
    </w:p>
    <w:p w:rsidR="009267EA" w:rsidRDefault="009267EA" w:rsidP="009267EA">
      <w:pPr>
        <w:pStyle w:val="APA"/>
      </w:pPr>
      <w:r>
        <w:t xml:space="preserve">1. Identify a minimum of five components which are generally included in the definition of culture.  </w:t>
      </w:r>
      <w:r w:rsidR="00484C43">
        <w:t xml:space="preserve">Five components of culture include shared knowledge, beliefs, values, attitudes, and rules of behavior </w:t>
      </w:r>
      <w:sdt>
        <w:sdtPr>
          <w:id w:val="1422918189"/>
          <w:citation/>
        </w:sdtPr>
        <w:sdtEndPr/>
        <w:sdtContent>
          <w:r w:rsidR="00484C43">
            <w:fldChar w:fldCharType="begin"/>
          </w:r>
          <w:r w:rsidR="00A5744F">
            <w:instrText xml:space="preserve">CITATION McB10 \l 1033 </w:instrText>
          </w:r>
          <w:r w:rsidR="00484C43">
            <w:fldChar w:fldCharType="separate"/>
          </w:r>
          <w:r w:rsidR="00A5744F">
            <w:rPr>
              <w:noProof/>
            </w:rPr>
            <w:t>(McBride, n.d.)</w:t>
          </w:r>
          <w:r w:rsidR="00484C43">
            <w:fldChar w:fldCharType="end"/>
          </w:r>
        </w:sdtContent>
      </w:sdt>
      <w:r w:rsidR="00484C43">
        <w:t>.</w:t>
      </w:r>
    </w:p>
    <w:p w:rsidR="00484C43" w:rsidRDefault="00484C43" w:rsidP="009267EA">
      <w:pPr>
        <w:pStyle w:val="APA"/>
      </w:pPr>
      <w:r>
        <w:t xml:space="preserve">2. After reviewing the definition, share an ethnocentric remark you have heard recently, or develop one as an example.  </w:t>
      </w:r>
      <w:r w:rsidR="00CA3BD7">
        <w:t>Indians use their fingers to eat.  An ethnocentric remark would be</w:t>
      </w:r>
      <w:proofErr w:type="gramStart"/>
      <w:r w:rsidR="00CA3BD7">
        <w:t>,</w:t>
      </w:r>
      <w:proofErr w:type="gramEnd"/>
      <w:r w:rsidR="00CA3BD7">
        <w:t xml:space="preserve"> I can’t believe they use their fingers to eat.  They should use silverware like we do and be normal.</w:t>
      </w:r>
    </w:p>
    <w:p w:rsidR="00CA3BD7" w:rsidRDefault="00CA3BD7" w:rsidP="009267EA">
      <w:pPr>
        <w:pStyle w:val="APA"/>
      </w:pPr>
      <w:r>
        <w:t xml:space="preserve">3. Using the Web site http://facts.kff.org/chart.aspx?ch=364, transfer the statistics to the following table.  </w:t>
      </w:r>
    </w:p>
    <w:tbl>
      <w:tblPr>
        <w:tblStyle w:val="TableGrid"/>
        <w:tblW w:w="0" w:type="auto"/>
        <w:tblLook w:val="04A0" w:firstRow="1" w:lastRow="0" w:firstColumn="1" w:lastColumn="0" w:noHBand="0" w:noVBand="1"/>
      </w:tblPr>
      <w:tblGrid>
        <w:gridCol w:w="6048"/>
        <w:gridCol w:w="1800"/>
        <w:gridCol w:w="1728"/>
      </w:tblGrid>
      <w:tr w:rsidR="00CA3BD7" w:rsidTr="00CA3BD7">
        <w:tc>
          <w:tcPr>
            <w:tcW w:w="6048" w:type="dxa"/>
          </w:tcPr>
          <w:p w:rsidR="00CA3BD7" w:rsidRDefault="00CA3BD7" w:rsidP="009267EA">
            <w:pPr>
              <w:pStyle w:val="APA"/>
              <w:ind w:firstLine="0"/>
            </w:pPr>
          </w:p>
        </w:tc>
        <w:tc>
          <w:tcPr>
            <w:tcW w:w="1800" w:type="dxa"/>
          </w:tcPr>
          <w:p w:rsidR="00CA3BD7" w:rsidRDefault="00CA3BD7" w:rsidP="009267EA">
            <w:pPr>
              <w:pStyle w:val="APA"/>
              <w:ind w:firstLine="0"/>
            </w:pPr>
            <w:r>
              <w:t>2010</w:t>
            </w:r>
          </w:p>
        </w:tc>
        <w:tc>
          <w:tcPr>
            <w:tcW w:w="1728" w:type="dxa"/>
          </w:tcPr>
          <w:p w:rsidR="00CA3BD7" w:rsidRDefault="00CA3BD7" w:rsidP="009267EA">
            <w:pPr>
              <w:pStyle w:val="APA"/>
              <w:ind w:firstLine="0"/>
            </w:pPr>
            <w:r>
              <w:t>2050</w:t>
            </w:r>
          </w:p>
        </w:tc>
      </w:tr>
      <w:tr w:rsidR="00CA3BD7" w:rsidTr="00CA3BD7">
        <w:tc>
          <w:tcPr>
            <w:tcW w:w="6048" w:type="dxa"/>
          </w:tcPr>
          <w:p w:rsidR="00CA3BD7" w:rsidRDefault="00CA3BD7" w:rsidP="009267EA">
            <w:pPr>
              <w:pStyle w:val="APA"/>
              <w:ind w:firstLine="0"/>
            </w:pPr>
            <w:r>
              <w:t>% White, non-Hispanic</w:t>
            </w:r>
          </w:p>
        </w:tc>
        <w:tc>
          <w:tcPr>
            <w:tcW w:w="1800" w:type="dxa"/>
          </w:tcPr>
          <w:p w:rsidR="00CA3BD7" w:rsidRDefault="00CA3BD7" w:rsidP="009267EA">
            <w:pPr>
              <w:pStyle w:val="APA"/>
              <w:ind w:firstLine="0"/>
            </w:pPr>
            <w:r>
              <w:t>64.7%</w:t>
            </w:r>
          </w:p>
        </w:tc>
        <w:tc>
          <w:tcPr>
            <w:tcW w:w="1728" w:type="dxa"/>
          </w:tcPr>
          <w:p w:rsidR="00CA3BD7" w:rsidRDefault="00CA3BD7" w:rsidP="009267EA">
            <w:pPr>
              <w:pStyle w:val="APA"/>
              <w:ind w:firstLine="0"/>
            </w:pPr>
            <w:r>
              <w:t>46.3%</w:t>
            </w:r>
          </w:p>
        </w:tc>
      </w:tr>
      <w:tr w:rsidR="00CA3BD7" w:rsidTr="00CA3BD7">
        <w:tc>
          <w:tcPr>
            <w:tcW w:w="6048" w:type="dxa"/>
          </w:tcPr>
          <w:p w:rsidR="00CA3BD7" w:rsidRDefault="00CA3BD7" w:rsidP="009267EA">
            <w:pPr>
              <w:pStyle w:val="APA"/>
              <w:ind w:firstLine="0"/>
            </w:pPr>
            <w:r>
              <w:t>% Hispanic</w:t>
            </w:r>
          </w:p>
        </w:tc>
        <w:tc>
          <w:tcPr>
            <w:tcW w:w="1800" w:type="dxa"/>
          </w:tcPr>
          <w:p w:rsidR="00CA3BD7" w:rsidRDefault="00CA3BD7" w:rsidP="009267EA">
            <w:pPr>
              <w:pStyle w:val="APA"/>
              <w:ind w:firstLine="0"/>
            </w:pPr>
            <w:r>
              <w:t>16.0%</w:t>
            </w:r>
          </w:p>
        </w:tc>
        <w:tc>
          <w:tcPr>
            <w:tcW w:w="1728" w:type="dxa"/>
          </w:tcPr>
          <w:p w:rsidR="00CA3BD7" w:rsidRDefault="00CA3BD7" w:rsidP="009267EA">
            <w:pPr>
              <w:pStyle w:val="APA"/>
              <w:ind w:firstLine="0"/>
            </w:pPr>
            <w:r>
              <w:t>30.2%</w:t>
            </w:r>
          </w:p>
        </w:tc>
      </w:tr>
      <w:tr w:rsidR="00CA3BD7" w:rsidTr="00CA3BD7">
        <w:tc>
          <w:tcPr>
            <w:tcW w:w="6048" w:type="dxa"/>
          </w:tcPr>
          <w:p w:rsidR="00CA3BD7" w:rsidRDefault="00CA3BD7" w:rsidP="009267EA">
            <w:pPr>
              <w:pStyle w:val="APA"/>
              <w:ind w:firstLine="0"/>
            </w:pPr>
            <w:r>
              <w:t>% African American, non-Hispanic</w:t>
            </w:r>
          </w:p>
        </w:tc>
        <w:tc>
          <w:tcPr>
            <w:tcW w:w="1800" w:type="dxa"/>
          </w:tcPr>
          <w:p w:rsidR="00CA3BD7" w:rsidRDefault="00CA3BD7" w:rsidP="009267EA">
            <w:pPr>
              <w:pStyle w:val="APA"/>
              <w:ind w:firstLine="0"/>
            </w:pPr>
            <w:r>
              <w:t>12.2%</w:t>
            </w:r>
          </w:p>
        </w:tc>
        <w:tc>
          <w:tcPr>
            <w:tcW w:w="1728" w:type="dxa"/>
          </w:tcPr>
          <w:p w:rsidR="00CA3BD7" w:rsidRDefault="00CA3BD7" w:rsidP="009267EA">
            <w:pPr>
              <w:pStyle w:val="APA"/>
              <w:ind w:firstLine="0"/>
            </w:pPr>
            <w:r>
              <w:t>11.8%</w:t>
            </w:r>
          </w:p>
        </w:tc>
      </w:tr>
      <w:tr w:rsidR="00CA3BD7" w:rsidTr="00CA3BD7">
        <w:tc>
          <w:tcPr>
            <w:tcW w:w="6048" w:type="dxa"/>
          </w:tcPr>
          <w:p w:rsidR="00CA3BD7" w:rsidRDefault="00CA3BD7" w:rsidP="009267EA">
            <w:pPr>
              <w:pStyle w:val="APA"/>
              <w:ind w:firstLine="0"/>
            </w:pPr>
            <w:r>
              <w:t>% Asian</w:t>
            </w:r>
          </w:p>
        </w:tc>
        <w:tc>
          <w:tcPr>
            <w:tcW w:w="1800" w:type="dxa"/>
          </w:tcPr>
          <w:p w:rsidR="00CA3BD7" w:rsidRDefault="00CA3BD7" w:rsidP="009267EA">
            <w:pPr>
              <w:pStyle w:val="APA"/>
              <w:ind w:firstLine="0"/>
            </w:pPr>
            <w:r>
              <w:t>4.5%</w:t>
            </w:r>
          </w:p>
        </w:tc>
        <w:tc>
          <w:tcPr>
            <w:tcW w:w="1728" w:type="dxa"/>
          </w:tcPr>
          <w:p w:rsidR="00CA3BD7" w:rsidRDefault="00CA3BD7" w:rsidP="009267EA">
            <w:pPr>
              <w:pStyle w:val="APA"/>
              <w:ind w:firstLine="0"/>
            </w:pPr>
            <w:r>
              <w:t>7.6%</w:t>
            </w:r>
          </w:p>
        </w:tc>
      </w:tr>
      <w:tr w:rsidR="00CA3BD7" w:rsidTr="00CA3BD7">
        <w:tc>
          <w:tcPr>
            <w:tcW w:w="6048" w:type="dxa"/>
          </w:tcPr>
          <w:p w:rsidR="00CA3BD7" w:rsidRDefault="00CA3BD7" w:rsidP="009267EA">
            <w:pPr>
              <w:pStyle w:val="APA"/>
              <w:ind w:firstLine="0"/>
            </w:pPr>
            <w:r>
              <w:t>% Native Hawaiian and Pacific Islander</w:t>
            </w:r>
          </w:p>
        </w:tc>
        <w:tc>
          <w:tcPr>
            <w:tcW w:w="1800" w:type="dxa"/>
          </w:tcPr>
          <w:p w:rsidR="00CA3BD7" w:rsidRDefault="00CA3BD7" w:rsidP="009267EA">
            <w:pPr>
              <w:pStyle w:val="APA"/>
              <w:ind w:firstLine="0"/>
            </w:pPr>
            <w:r>
              <w:t>0.1%</w:t>
            </w:r>
          </w:p>
        </w:tc>
        <w:tc>
          <w:tcPr>
            <w:tcW w:w="1728" w:type="dxa"/>
          </w:tcPr>
          <w:p w:rsidR="00CA3BD7" w:rsidRDefault="00CA3BD7" w:rsidP="009267EA">
            <w:pPr>
              <w:pStyle w:val="APA"/>
              <w:ind w:firstLine="0"/>
            </w:pPr>
            <w:r>
              <w:t>0.2%</w:t>
            </w:r>
          </w:p>
        </w:tc>
      </w:tr>
      <w:tr w:rsidR="00CA3BD7" w:rsidTr="00CA3BD7">
        <w:tc>
          <w:tcPr>
            <w:tcW w:w="6048" w:type="dxa"/>
          </w:tcPr>
          <w:p w:rsidR="00CA3BD7" w:rsidRDefault="00CA3BD7" w:rsidP="009267EA">
            <w:pPr>
              <w:pStyle w:val="APA"/>
              <w:ind w:firstLine="0"/>
            </w:pPr>
            <w:r>
              <w:t>% American Indian/Alaskan Native</w:t>
            </w:r>
          </w:p>
        </w:tc>
        <w:tc>
          <w:tcPr>
            <w:tcW w:w="1800" w:type="dxa"/>
          </w:tcPr>
          <w:p w:rsidR="00CA3BD7" w:rsidRDefault="00CA3BD7" w:rsidP="009267EA">
            <w:pPr>
              <w:pStyle w:val="APA"/>
              <w:ind w:firstLine="0"/>
            </w:pPr>
            <w:r>
              <w:t>0.8%</w:t>
            </w:r>
          </w:p>
        </w:tc>
        <w:tc>
          <w:tcPr>
            <w:tcW w:w="1728" w:type="dxa"/>
          </w:tcPr>
          <w:p w:rsidR="00CA3BD7" w:rsidRDefault="00CA3BD7" w:rsidP="009267EA">
            <w:pPr>
              <w:pStyle w:val="APA"/>
              <w:ind w:firstLine="0"/>
            </w:pPr>
            <w:r>
              <w:t>0.8%</w:t>
            </w:r>
          </w:p>
        </w:tc>
      </w:tr>
      <w:tr w:rsidR="00CA3BD7" w:rsidTr="00CA3BD7">
        <w:tc>
          <w:tcPr>
            <w:tcW w:w="6048" w:type="dxa"/>
          </w:tcPr>
          <w:p w:rsidR="00CA3BD7" w:rsidRDefault="002520FD" w:rsidP="009267EA">
            <w:pPr>
              <w:pStyle w:val="APA"/>
              <w:ind w:firstLine="0"/>
            </w:pPr>
            <w:r>
              <w:t>% Two</w:t>
            </w:r>
            <w:r w:rsidR="00CA3BD7">
              <w:t xml:space="preserve"> or more races</w:t>
            </w:r>
          </w:p>
        </w:tc>
        <w:tc>
          <w:tcPr>
            <w:tcW w:w="1800" w:type="dxa"/>
          </w:tcPr>
          <w:p w:rsidR="00CA3BD7" w:rsidRDefault="00CA3BD7" w:rsidP="009267EA">
            <w:pPr>
              <w:pStyle w:val="APA"/>
              <w:ind w:firstLine="0"/>
            </w:pPr>
            <w:r>
              <w:t>1.5%</w:t>
            </w:r>
          </w:p>
        </w:tc>
        <w:tc>
          <w:tcPr>
            <w:tcW w:w="1728" w:type="dxa"/>
          </w:tcPr>
          <w:p w:rsidR="00CA3BD7" w:rsidRDefault="00CA3BD7" w:rsidP="009267EA">
            <w:pPr>
              <w:pStyle w:val="APA"/>
              <w:ind w:firstLine="0"/>
            </w:pPr>
            <w:r>
              <w:t>3.0%</w:t>
            </w:r>
          </w:p>
        </w:tc>
      </w:tr>
    </w:tbl>
    <w:p w:rsidR="00CA3BD7" w:rsidRDefault="00CA3BD7" w:rsidP="009267EA">
      <w:pPr>
        <w:pStyle w:val="APA"/>
      </w:pPr>
    </w:p>
    <w:p w:rsidR="00CA10D3" w:rsidRDefault="00CA10D3" w:rsidP="009267EA">
      <w:pPr>
        <w:pStyle w:val="APA"/>
      </w:pPr>
      <w:r>
        <w:t xml:space="preserve">4. What impact do you believe the changes projected for 2050 may have on the profession of nursing?  </w:t>
      </w:r>
      <w:r w:rsidR="002520FD">
        <w:t xml:space="preserve">As the population becomes more diverse nursing will have to change to meet the needs and demands.  It will be beneficial for nurses to speak multiple languages.  It will </w:t>
      </w:r>
      <w:r w:rsidR="002520FD">
        <w:lastRenderedPageBreak/>
        <w:t>be necessary for nurses to become accustomed to other cultures and their beliefs in order to provide excellent service.</w:t>
      </w:r>
    </w:p>
    <w:p w:rsidR="002520FD" w:rsidRDefault="002520FD" w:rsidP="009267EA">
      <w:pPr>
        <w:pStyle w:val="APA"/>
      </w:pPr>
      <w:r>
        <w:t>5. Take several minutes to fill out the Heritage Assessment Tool at http://wps.prenhall.com/wps/media/objects/663/679611/box_6_1.pdf.  As the instructions indicate, add the positive responses and briefly discuss your personal identification with traditional heritage versus a North American, modern culture.</w:t>
      </w:r>
      <w:r w:rsidR="00E219C4">
        <w:t xml:space="preserve">  </w:t>
      </w:r>
      <w:r w:rsidR="00EB36A5">
        <w:t xml:space="preserve">My total score was 49.  I was born and raised in the United States.  My parents and grandparents were also born and raised in the United States.  My heritage is American and my traditional heritage is the same as modern culture.  Our family celebrates the same holidays as most other Americans.  Our </w:t>
      </w:r>
      <w:r w:rsidR="000570EA">
        <w:t>traditions are</w:t>
      </w:r>
      <w:r w:rsidR="00EB36A5">
        <w:t xml:space="preserve"> the same as m</w:t>
      </w:r>
      <w:r w:rsidR="000570EA">
        <w:t>any of our friends and family.  We eat the same meals as others around us.</w:t>
      </w:r>
    </w:p>
    <w:p w:rsidR="000570EA" w:rsidRDefault="000570EA" w:rsidP="009267EA">
      <w:pPr>
        <w:pStyle w:val="APA"/>
      </w:pPr>
      <w:r>
        <w:t xml:space="preserve">6.  What additional strategies would be appropriate in preparing to assess culture in an older person?  Select all that apply.  </w:t>
      </w:r>
      <w:r w:rsidR="00CE5F08">
        <w:t xml:space="preserve">Avoid the “invisible patient syndrome” and ask for help in understanding the </w:t>
      </w:r>
      <w:proofErr w:type="gramStart"/>
      <w:r w:rsidR="00CE5F08">
        <w:t>clients</w:t>
      </w:r>
      <w:proofErr w:type="gramEnd"/>
      <w:r w:rsidR="00CE5F08">
        <w:t xml:space="preserve"> cultural components as needed are appropriate strategies in preparing to assess culture in an older person.  The nurse should address the patient using a formal title, consider the use of informal conversation before the assessment, show sincerity, avoid the “invisible patient syndrome”, and acknowledge the importance of ethnicity and ask for patients help in understanding </w:t>
      </w:r>
      <w:sdt>
        <w:sdtPr>
          <w:id w:val="1690024787"/>
          <w:citation/>
        </w:sdtPr>
        <w:sdtEndPr/>
        <w:sdtContent>
          <w:r w:rsidR="00CE5F08">
            <w:fldChar w:fldCharType="begin"/>
          </w:r>
          <w:r w:rsidR="00A5744F">
            <w:instrText xml:space="preserve">CITATION McB10 \l 1033 </w:instrText>
          </w:r>
          <w:r w:rsidR="00CE5F08">
            <w:fldChar w:fldCharType="separate"/>
          </w:r>
          <w:r w:rsidR="00A5744F">
            <w:rPr>
              <w:noProof/>
            </w:rPr>
            <w:t>(McBride, n.d.)</w:t>
          </w:r>
          <w:r w:rsidR="00CE5F08">
            <w:fldChar w:fldCharType="end"/>
          </w:r>
        </w:sdtContent>
      </w:sdt>
      <w:r w:rsidR="00CE5F08">
        <w:t xml:space="preserve">. </w:t>
      </w:r>
    </w:p>
    <w:p w:rsidR="00CE5F08" w:rsidRDefault="00CE5F08" w:rsidP="009267EA">
      <w:pPr>
        <w:pStyle w:val="APA"/>
      </w:pPr>
      <w:r>
        <w:t xml:space="preserve">7. For each of the following categories, list one strategy the nurse should implement for a specific identified cultural group: physical distance, eye contact, emotional expressiveness, and body movements.  </w:t>
      </w:r>
      <w:r w:rsidR="00151FF2">
        <w:t xml:space="preserve">Northern Europeans prefer an arm’s length distance.  The nurse should set her distance to an arm’s length away and ask permission before moving in closer.  Moslem groups consider eye contact inappropriate.  The nurse should watch for clues regarding appropriate eye contact and try to avoid staring directly at them. The Japanese may laugh or smile to hide true </w:t>
      </w:r>
      <w:r w:rsidR="00151FF2">
        <w:lastRenderedPageBreak/>
        <w:t xml:space="preserve">emotions.  The nurse should pay attention to this so that she does not mistake the interpretation of the laugh.  Chinese may consider finger pointing and hand gestures as disrespectful.   The nurse should ask the interpreter or a cultural guide if hand gestures are appropriate </w:t>
      </w:r>
      <w:sdt>
        <w:sdtPr>
          <w:id w:val="1186175525"/>
          <w:citation/>
        </w:sdtPr>
        <w:sdtEndPr/>
        <w:sdtContent>
          <w:r w:rsidR="00151FF2">
            <w:fldChar w:fldCharType="begin"/>
          </w:r>
          <w:r w:rsidR="00A5744F">
            <w:instrText xml:space="preserve">CITATION McB10 \l 1033 </w:instrText>
          </w:r>
          <w:r w:rsidR="00151FF2">
            <w:fldChar w:fldCharType="separate"/>
          </w:r>
          <w:r w:rsidR="00A5744F">
            <w:rPr>
              <w:noProof/>
            </w:rPr>
            <w:t>(McBride, n.d.)</w:t>
          </w:r>
          <w:r w:rsidR="00151FF2">
            <w:fldChar w:fldCharType="end"/>
          </w:r>
        </w:sdtContent>
      </w:sdt>
      <w:r w:rsidR="00151FF2">
        <w:t>.</w:t>
      </w:r>
    </w:p>
    <w:p w:rsidR="00151FF2" w:rsidRDefault="00151FF2" w:rsidP="009267EA">
      <w:pPr>
        <w:pStyle w:val="APA"/>
      </w:pPr>
      <w:r>
        <w:t>8. Watch the video entitled “Cultural Competence for Healthcare Providers” (2009) at http://www.youtube.com/watch?v=dNLtAj0wy61.  Comment on any new information you acquired or</w:t>
      </w:r>
      <w:r w:rsidR="007C5343">
        <w:t xml:space="preserve"> your reaction to the content.  The nurses did not fully understand cultural competence.  Many people are not getting the treatment they need because the medical staff is unable to interpret and interpreters were not available.  Nurses are told to be culturally competent but not necessarily taught what that means </w:t>
      </w:r>
      <w:sdt>
        <w:sdtPr>
          <w:id w:val="-838067387"/>
          <w:citation/>
        </w:sdtPr>
        <w:sdtEndPr/>
        <w:sdtContent>
          <w:r w:rsidR="007C5343">
            <w:fldChar w:fldCharType="begin"/>
          </w:r>
          <w:r w:rsidR="007C5343">
            <w:instrText xml:space="preserve"> CITATION Cul09 \l 1033 </w:instrText>
          </w:r>
          <w:r w:rsidR="007C5343">
            <w:fldChar w:fldCharType="separate"/>
          </w:r>
          <w:r w:rsidR="007C5343">
            <w:rPr>
              <w:noProof/>
            </w:rPr>
            <w:t>(Cultural Competence for Healthcare Providers, 2009)</w:t>
          </w:r>
          <w:r w:rsidR="007C5343">
            <w:fldChar w:fldCharType="end"/>
          </w:r>
        </w:sdtContent>
      </w:sdt>
      <w:r w:rsidR="007C5343">
        <w:t xml:space="preserve">.  I was shocked after watching this movie.  </w:t>
      </w:r>
    </w:p>
    <w:p w:rsidR="007C5343" w:rsidRDefault="007C5343" w:rsidP="009267EA">
      <w:pPr>
        <w:pStyle w:val="APA"/>
      </w:pPr>
      <w:r>
        <w:t xml:space="preserve">1. </w:t>
      </w:r>
      <w:proofErr w:type="spellStart"/>
      <w:r>
        <w:t>Ethnogeriatrics</w:t>
      </w:r>
      <w:proofErr w:type="spellEnd"/>
      <w:r>
        <w:t xml:space="preserve"> may be a term students and nurses are unfamiliar with; provide a definition.  </w:t>
      </w:r>
      <w:proofErr w:type="spellStart"/>
      <w:r w:rsidR="00A5744F">
        <w:t>Ethnogeriatrics</w:t>
      </w:r>
      <w:proofErr w:type="spellEnd"/>
      <w:r w:rsidR="00A5744F">
        <w:t xml:space="preserve"> is healthcare for older persons from different ethnic backgrounds </w:t>
      </w:r>
      <w:sdt>
        <w:sdtPr>
          <w:id w:val="-79528427"/>
          <w:citation/>
        </w:sdtPr>
        <w:sdtEndPr/>
        <w:sdtContent>
          <w:r w:rsidR="00A5744F">
            <w:fldChar w:fldCharType="begin"/>
          </w:r>
          <w:r w:rsidR="00A5744F">
            <w:instrText xml:space="preserve">CITATION McB10 \l 1033 </w:instrText>
          </w:r>
          <w:r w:rsidR="00A5744F">
            <w:fldChar w:fldCharType="separate"/>
          </w:r>
          <w:r w:rsidR="00A5744F">
            <w:rPr>
              <w:noProof/>
            </w:rPr>
            <w:t>(McBride, n.d.)</w:t>
          </w:r>
          <w:r w:rsidR="00A5744F">
            <w:fldChar w:fldCharType="end"/>
          </w:r>
        </w:sdtContent>
      </w:sdt>
      <w:r w:rsidR="00A5744F">
        <w:t xml:space="preserve">.  When caring for </w:t>
      </w:r>
      <w:proofErr w:type="spellStart"/>
      <w:r w:rsidR="00A5744F">
        <w:t>ethnogeriatrics</w:t>
      </w:r>
      <w:proofErr w:type="spellEnd"/>
      <w:r w:rsidR="00A5744F">
        <w:t xml:space="preserve"> medical staff must consider the persons culture and beliefs.  </w:t>
      </w:r>
    </w:p>
    <w:p w:rsidR="00165BB7" w:rsidRDefault="00165BB7" w:rsidP="009267EA">
      <w:pPr>
        <w:pStyle w:val="APA"/>
      </w:pPr>
      <w:r>
        <w:t xml:space="preserve">2. Mr. Rivera was noted as being Hispanic; what further definition is used by the U.S. Census to note the countries included for this ethnicity category?  Mexican Americans, Puerto Rican, Cuban, </w:t>
      </w:r>
      <w:r w:rsidR="00DB1F88">
        <w:t xml:space="preserve">Central or South America, and Spain regardless of race are considered Hispanic </w:t>
      </w:r>
      <w:sdt>
        <w:sdtPr>
          <w:id w:val="1319457812"/>
          <w:citation/>
        </w:sdtPr>
        <w:sdtEndPr/>
        <w:sdtContent>
          <w:r w:rsidR="00DB1F88">
            <w:fldChar w:fldCharType="begin"/>
          </w:r>
          <w:r w:rsidR="00DB1F88">
            <w:instrText xml:space="preserve"> CITATION Tal01 \l 1033 </w:instrText>
          </w:r>
          <w:r w:rsidR="00DB1F88">
            <w:fldChar w:fldCharType="separate"/>
          </w:r>
          <w:r w:rsidR="00DB1F88">
            <w:rPr>
              <w:noProof/>
            </w:rPr>
            <w:t>(Talamantes, Lindeman, &amp; Mouton, 2001)</w:t>
          </w:r>
          <w:r w:rsidR="00DB1F88">
            <w:fldChar w:fldCharType="end"/>
          </w:r>
        </w:sdtContent>
      </w:sdt>
      <w:r w:rsidR="00DB1F88">
        <w:t xml:space="preserve">.  </w:t>
      </w:r>
    </w:p>
    <w:p w:rsidR="00DB1F88" w:rsidRDefault="00DB1F88" w:rsidP="009267EA">
      <w:pPr>
        <w:pStyle w:val="APA"/>
      </w:pPr>
      <w:r>
        <w:t xml:space="preserve">3. Describe what a “level of acculturation” entails?  Why is it important to know? </w:t>
      </w:r>
      <w:r w:rsidR="00F6517D">
        <w:t xml:space="preserve">  </w:t>
      </w:r>
      <w:r w:rsidR="00085A28">
        <w:t xml:space="preserve">Level acculturation is determined by examining how well the person has combined their cultural beliefs and values with their new society’s cultures and beliefs </w:t>
      </w:r>
      <w:sdt>
        <w:sdtPr>
          <w:id w:val="1813752640"/>
          <w:citation/>
        </w:sdtPr>
        <w:sdtEndPr/>
        <w:sdtContent>
          <w:r w:rsidR="00085A28">
            <w:fldChar w:fldCharType="begin"/>
          </w:r>
          <w:r w:rsidR="00085A28">
            <w:instrText xml:space="preserve"> CITATION McB10 \l 1033 </w:instrText>
          </w:r>
          <w:r w:rsidR="00085A28">
            <w:fldChar w:fldCharType="separate"/>
          </w:r>
          <w:r w:rsidR="00085A28">
            <w:rPr>
              <w:noProof/>
            </w:rPr>
            <w:t>(McBride, n.d.)</w:t>
          </w:r>
          <w:r w:rsidR="00085A28">
            <w:fldChar w:fldCharType="end"/>
          </w:r>
        </w:sdtContent>
      </w:sdt>
      <w:r w:rsidR="00085A28">
        <w:t xml:space="preserve">.  </w:t>
      </w:r>
      <w:r>
        <w:t xml:space="preserve"> </w:t>
      </w:r>
      <w:r w:rsidR="0011417D">
        <w:t xml:space="preserve">This helps to determine the skills and level of comfort the patient has with the new society.  Knowing this </w:t>
      </w:r>
      <w:r w:rsidR="0011417D">
        <w:lastRenderedPageBreak/>
        <w:t xml:space="preserve">helps the provider avoid misinterpreting the </w:t>
      </w:r>
      <w:r w:rsidR="00CA20FB">
        <w:t>patient’s</w:t>
      </w:r>
      <w:r w:rsidR="0011417D">
        <w:t xml:space="preserve"> signs and body language.  </w:t>
      </w:r>
      <w:r w:rsidR="00CA20FB">
        <w:t xml:space="preserve">This helps to avoid mistakes when determining medical treatment. </w:t>
      </w:r>
    </w:p>
    <w:p w:rsidR="00D0784C" w:rsidRDefault="00D0784C" w:rsidP="009267EA">
      <w:pPr>
        <w:pStyle w:val="APA"/>
      </w:pPr>
      <w:r>
        <w:t xml:space="preserve">4. What is recommended as informal indicators of acculturation that can be used quickly by a health care provider for assessment?  </w:t>
      </w:r>
      <w:r w:rsidR="00D5101A">
        <w:t xml:space="preserve">The length of time the patient or their family has been in the U.S. and the </w:t>
      </w:r>
      <w:r w:rsidR="009D7702">
        <w:t>languages</w:t>
      </w:r>
      <w:r w:rsidR="00D5101A">
        <w:t xml:space="preserve"> they use at home as well as fluency in English are informal indicators of acculturation </w:t>
      </w:r>
      <w:sdt>
        <w:sdtPr>
          <w:id w:val="1686862047"/>
          <w:citation/>
        </w:sdtPr>
        <w:sdtEndPr/>
        <w:sdtContent>
          <w:r w:rsidR="00D5101A">
            <w:fldChar w:fldCharType="begin"/>
          </w:r>
          <w:r w:rsidR="00D5101A">
            <w:instrText xml:space="preserve"> CITATION McB10 \l 1033 </w:instrText>
          </w:r>
          <w:r w:rsidR="00D5101A">
            <w:fldChar w:fldCharType="separate"/>
          </w:r>
          <w:r w:rsidR="00D5101A">
            <w:rPr>
              <w:noProof/>
            </w:rPr>
            <w:t>(McBride, n.d.)</w:t>
          </w:r>
          <w:r w:rsidR="00D5101A">
            <w:fldChar w:fldCharType="end"/>
          </w:r>
        </w:sdtContent>
      </w:sdt>
      <w:r w:rsidR="00D5101A">
        <w:t xml:space="preserve">.  </w:t>
      </w:r>
    </w:p>
    <w:p w:rsidR="009D7702" w:rsidRDefault="009D7702" w:rsidP="009267EA">
      <w:pPr>
        <w:pStyle w:val="APA"/>
      </w:pPr>
      <w:r>
        <w:t xml:space="preserve">5. Will an interpreter or a translator be contacted to assist with the health intake interview?  Yes, an interpreter or a translator would need to be contacted to assist with the health intake interview.  It is better to avoid using family and friends of the patient as an interpreter </w:t>
      </w:r>
      <w:sdt>
        <w:sdtPr>
          <w:id w:val="2122103925"/>
          <w:citation/>
        </w:sdtPr>
        <w:sdtEndPr/>
        <w:sdtContent>
          <w:r w:rsidR="00C5447D">
            <w:fldChar w:fldCharType="begin"/>
          </w:r>
          <w:r w:rsidR="00C5447D">
            <w:instrText xml:space="preserve"> CITATION McB10 \l 1033 </w:instrText>
          </w:r>
          <w:r w:rsidR="00C5447D">
            <w:fldChar w:fldCharType="separate"/>
          </w:r>
          <w:r w:rsidR="00C5447D">
            <w:rPr>
              <w:noProof/>
            </w:rPr>
            <w:t>(McBride, n.d.)</w:t>
          </w:r>
          <w:r w:rsidR="00C5447D">
            <w:fldChar w:fldCharType="end"/>
          </w:r>
        </w:sdtContent>
      </w:sdt>
      <w:r w:rsidR="00C5447D">
        <w:t>.  The patient may withhold important information because they do not want their friends or family to know the extent of their health problems.</w:t>
      </w:r>
    </w:p>
    <w:p w:rsidR="00C5447D" w:rsidRDefault="00C5447D" w:rsidP="009267EA">
      <w:pPr>
        <w:pStyle w:val="APA"/>
      </w:pPr>
      <w:r>
        <w:t xml:space="preserve">6. Which of the following is included in suggestions for successful communication with an elderly Hispanic/Latino client?  Select all that apply.  Successful communication includes addressing the individual by their last name, knowing some persons nod “yes”, but do not comprehend the message, and realizing questioning of authority may be considered unacceptable </w:t>
      </w:r>
      <w:sdt>
        <w:sdtPr>
          <w:id w:val="1615553142"/>
          <w:citation/>
        </w:sdtPr>
        <w:sdtEndPr/>
        <w:sdtContent>
          <w:r>
            <w:fldChar w:fldCharType="begin"/>
          </w:r>
          <w:r>
            <w:instrText xml:space="preserve"> CITATION Tal01 \l 1033 </w:instrText>
          </w:r>
          <w:r>
            <w:fldChar w:fldCharType="separate"/>
          </w:r>
          <w:r>
            <w:rPr>
              <w:noProof/>
            </w:rPr>
            <w:t>(Talamantes, Lindeman, &amp; Mouton, 2001)</w:t>
          </w:r>
          <w:r>
            <w:fldChar w:fldCharType="end"/>
          </w:r>
        </w:sdtContent>
      </w:sdt>
      <w:r>
        <w:t>.</w:t>
      </w:r>
    </w:p>
    <w:p w:rsidR="00C5447D" w:rsidRDefault="00C5447D" w:rsidP="009267EA">
      <w:pPr>
        <w:pStyle w:val="APA"/>
      </w:pPr>
      <w:r>
        <w:t xml:space="preserve">7. Complete the following table using the Web site suggested. </w:t>
      </w:r>
    </w:p>
    <w:tbl>
      <w:tblPr>
        <w:tblStyle w:val="TableGrid"/>
        <w:tblW w:w="10098" w:type="dxa"/>
        <w:tblLook w:val="04A0" w:firstRow="1" w:lastRow="0" w:firstColumn="1" w:lastColumn="0" w:noHBand="0" w:noVBand="1"/>
      </w:tblPr>
      <w:tblGrid>
        <w:gridCol w:w="2358"/>
        <w:gridCol w:w="7740"/>
      </w:tblGrid>
      <w:tr w:rsidR="00C5447D" w:rsidRPr="00CE2F15" w:rsidTr="00CE2F15">
        <w:trPr>
          <w:trHeight w:val="323"/>
        </w:trPr>
        <w:tc>
          <w:tcPr>
            <w:tcW w:w="2358" w:type="dxa"/>
          </w:tcPr>
          <w:p w:rsidR="00C5447D" w:rsidRPr="00CE2F15" w:rsidRDefault="00C5447D" w:rsidP="00C5447D">
            <w:pPr>
              <w:pStyle w:val="APA"/>
              <w:ind w:firstLine="0"/>
              <w:jc w:val="center"/>
              <w:rPr>
                <w:szCs w:val="24"/>
              </w:rPr>
            </w:pPr>
            <w:r w:rsidRPr="00CE2F15">
              <w:rPr>
                <w:szCs w:val="24"/>
              </w:rPr>
              <w:t>Cultural Theme</w:t>
            </w:r>
          </w:p>
        </w:tc>
        <w:tc>
          <w:tcPr>
            <w:tcW w:w="7740" w:type="dxa"/>
          </w:tcPr>
          <w:p w:rsidR="00C5447D" w:rsidRPr="00CE2F15" w:rsidRDefault="00C5447D" w:rsidP="00C5447D">
            <w:pPr>
              <w:pStyle w:val="APA"/>
              <w:ind w:firstLine="0"/>
              <w:jc w:val="center"/>
              <w:rPr>
                <w:szCs w:val="24"/>
              </w:rPr>
            </w:pPr>
            <w:r w:rsidRPr="00CE2F15">
              <w:rPr>
                <w:szCs w:val="24"/>
              </w:rPr>
              <w:t>Description</w:t>
            </w:r>
          </w:p>
        </w:tc>
      </w:tr>
      <w:tr w:rsidR="00C5447D" w:rsidRPr="00CE2F15" w:rsidTr="00CE2F15">
        <w:tc>
          <w:tcPr>
            <w:tcW w:w="2358" w:type="dxa"/>
          </w:tcPr>
          <w:p w:rsidR="00C5447D" w:rsidRPr="00CE2F15" w:rsidRDefault="00C5447D" w:rsidP="009267EA">
            <w:pPr>
              <w:pStyle w:val="APA"/>
              <w:ind w:firstLine="0"/>
              <w:rPr>
                <w:szCs w:val="24"/>
              </w:rPr>
            </w:pPr>
            <w:proofErr w:type="spellStart"/>
            <w:r w:rsidRPr="00CE2F15">
              <w:rPr>
                <w:szCs w:val="24"/>
              </w:rPr>
              <w:t>Familismo</w:t>
            </w:r>
            <w:proofErr w:type="spellEnd"/>
          </w:p>
        </w:tc>
        <w:tc>
          <w:tcPr>
            <w:tcW w:w="7740" w:type="dxa"/>
          </w:tcPr>
          <w:p w:rsidR="00C5447D" w:rsidRPr="00CE2F15" w:rsidRDefault="00C5447D" w:rsidP="00C5447D">
            <w:pPr>
              <w:pStyle w:val="APA"/>
              <w:spacing w:line="240" w:lineRule="auto"/>
              <w:ind w:firstLine="0"/>
              <w:rPr>
                <w:szCs w:val="24"/>
              </w:rPr>
            </w:pPr>
            <w:r w:rsidRPr="00CE2F15">
              <w:rPr>
                <w:szCs w:val="24"/>
              </w:rPr>
              <w:t>Importance of family at all levels: nuclear, extended, fictive kin (</w:t>
            </w:r>
            <w:proofErr w:type="spellStart"/>
            <w:r w:rsidRPr="00CE2F15">
              <w:rPr>
                <w:szCs w:val="24"/>
              </w:rPr>
              <w:t>compadres</w:t>
            </w:r>
            <w:proofErr w:type="spellEnd"/>
            <w:r w:rsidRPr="00CE2F15">
              <w:rPr>
                <w:szCs w:val="24"/>
              </w:rPr>
              <w:t xml:space="preserve">).  Needs of family take precedence over individual </w:t>
            </w:r>
            <w:proofErr w:type="gramStart"/>
            <w:r w:rsidRPr="00CE2F15">
              <w:rPr>
                <w:szCs w:val="24"/>
              </w:rPr>
              <w:t>needs.</w:t>
            </w:r>
            <w:proofErr w:type="gramEnd"/>
            <w:r w:rsidRPr="00CE2F15">
              <w:rPr>
                <w:szCs w:val="24"/>
              </w:rPr>
              <w:t xml:space="preserve"> Mutual reciprocity</w:t>
            </w:r>
          </w:p>
        </w:tc>
      </w:tr>
      <w:tr w:rsidR="00C5447D" w:rsidRPr="00CE2F15" w:rsidTr="00CE2F15">
        <w:tc>
          <w:tcPr>
            <w:tcW w:w="2358" w:type="dxa"/>
          </w:tcPr>
          <w:p w:rsidR="00C5447D" w:rsidRPr="00CE2F15" w:rsidRDefault="00C5447D" w:rsidP="009267EA">
            <w:pPr>
              <w:pStyle w:val="APA"/>
              <w:ind w:firstLine="0"/>
              <w:rPr>
                <w:szCs w:val="24"/>
              </w:rPr>
            </w:pPr>
            <w:proofErr w:type="spellStart"/>
            <w:r w:rsidRPr="00CE2F15">
              <w:rPr>
                <w:szCs w:val="24"/>
              </w:rPr>
              <w:t>Personalismo</w:t>
            </w:r>
            <w:proofErr w:type="spellEnd"/>
          </w:p>
        </w:tc>
        <w:tc>
          <w:tcPr>
            <w:tcW w:w="7740" w:type="dxa"/>
          </w:tcPr>
          <w:p w:rsidR="00C5447D" w:rsidRPr="00CE2F15" w:rsidRDefault="00C5447D" w:rsidP="009267EA">
            <w:pPr>
              <w:pStyle w:val="APA"/>
              <w:ind w:firstLine="0"/>
              <w:rPr>
                <w:szCs w:val="24"/>
              </w:rPr>
            </w:pPr>
            <w:r w:rsidRPr="00CE2F15">
              <w:rPr>
                <w:szCs w:val="24"/>
              </w:rPr>
              <w:t>Display mutual respect, trust building</w:t>
            </w:r>
          </w:p>
        </w:tc>
      </w:tr>
      <w:tr w:rsidR="00C5447D" w:rsidRPr="00CE2F15" w:rsidTr="00CE2F15">
        <w:tc>
          <w:tcPr>
            <w:tcW w:w="2358" w:type="dxa"/>
          </w:tcPr>
          <w:p w:rsidR="00C5447D" w:rsidRPr="00CE2F15" w:rsidRDefault="00C5447D" w:rsidP="009267EA">
            <w:pPr>
              <w:pStyle w:val="APA"/>
              <w:ind w:firstLine="0"/>
              <w:rPr>
                <w:szCs w:val="24"/>
              </w:rPr>
            </w:pPr>
            <w:proofErr w:type="spellStart"/>
            <w:r w:rsidRPr="00CE2F15">
              <w:rPr>
                <w:szCs w:val="24"/>
              </w:rPr>
              <w:t>Jerarquismo</w:t>
            </w:r>
            <w:proofErr w:type="spellEnd"/>
          </w:p>
        </w:tc>
        <w:tc>
          <w:tcPr>
            <w:tcW w:w="7740" w:type="dxa"/>
          </w:tcPr>
          <w:p w:rsidR="00C5447D" w:rsidRPr="00CE2F15" w:rsidRDefault="00C5447D" w:rsidP="009267EA">
            <w:pPr>
              <w:pStyle w:val="APA"/>
              <w:ind w:firstLine="0"/>
              <w:rPr>
                <w:szCs w:val="24"/>
              </w:rPr>
            </w:pPr>
            <w:r w:rsidRPr="00CE2F15">
              <w:rPr>
                <w:szCs w:val="24"/>
              </w:rPr>
              <w:t>Respect for hierarchy</w:t>
            </w:r>
          </w:p>
        </w:tc>
      </w:tr>
      <w:tr w:rsidR="00C5447D" w:rsidRPr="00CE2F15" w:rsidTr="00CE2F15">
        <w:trPr>
          <w:trHeight w:val="323"/>
        </w:trPr>
        <w:tc>
          <w:tcPr>
            <w:tcW w:w="2358" w:type="dxa"/>
          </w:tcPr>
          <w:p w:rsidR="00C5447D" w:rsidRPr="00CE2F15" w:rsidRDefault="00CE2F15" w:rsidP="009267EA">
            <w:pPr>
              <w:pStyle w:val="APA"/>
              <w:ind w:firstLine="0"/>
              <w:rPr>
                <w:szCs w:val="24"/>
              </w:rPr>
            </w:pPr>
            <w:proofErr w:type="spellStart"/>
            <w:r w:rsidRPr="00CE2F15">
              <w:rPr>
                <w:szCs w:val="24"/>
              </w:rPr>
              <w:t>Presentismo</w:t>
            </w:r>
            <w:proofErr w:type="spellEnd"/>
          </w:p>
        </w:tc>
        <w:tc>
          <w:tcPr>
            <w:tcW w:w="7740" w:type="dxa"/>
          </w:tcPr>
          <w:p w:rsidR="00C5447D" w:rsidRPr="00CE2F15" w:rsidRDefault="00CE2F15" w:rsidP="009267EA">
            <w:pPr>
              <w:pStyle w:val="APA"/>
              <w:ind w:firstLine="0"/>
              <w:rPr>
                <w:szCs w:val="24"/>
              </w:rPr>
            </w:pPr>
            <w:r w:rsidRPr="00CE2F15">
              <w:rPr>
                <w:szCs w:val="24"/>
              </w:rPr>
              <w:t>Emphasis on present</w:t>
            </w:r>
          </w:p>
        </w:tc>
      </w:tr>
      <w:tr w:rsidR="00C5447D" w:rsidRPr="00CE2F15" w:rsidTr="00CE2F15">
        <w:tc>
          <w:tcPr>
            <w:tcW w:w="2358" w:type="dxa"/>
          </w:tcPr>
          <w:p w:rsidR="00C5447D" w:rsidRPr="00CE2F15" w:rsidRDefault="00CE2F15" w:rsidP="009267EA">
            <w:pPr>
              <w:pStyle w:val="APA"/>
              <w:ind w:firstLine="0"/>
              <w:rPr>
                <w:szCs w:val="24"/>
              </w:rPr>
            </w:pPr>
            <w:proofErr w:type="spellStart"/>
            <w:r w:rsidRPr="00CE2F15">
              <w:rPr>
                <w:szCs w:val="24"/>
              </w:rPr>
              <w:t>Espiritismo</w:t>
            </w:r>
            <w:proofErr w:type="spellEnd"/>
          </w:p>
        </w:tc>
        <w:tc>
          <w:tcPr>
            <w:tcW w:w="7740" w:type="dxa"/>
          </w:tcPr>
          <w:p w:rsidR="00C5447D" w:rsidRPr="00CE2F15" w:rsidRDefault="00CE2F15" w:rsidP="00CE2F15">
            <w:pPr>
              <w:pStyle w:val="APA"/>
              <w:spacing w:line="240" w:lineRule="auto"/>
              <w:ind w:firstLine="0"/>
              <w:rPr>
                <w:szCs w:val="24"/>
              </w:rPr>
            </w:pPr>
            <w:r w:rsidRPr="00CE2F15">
              <w:rPr>
                <w:szCs w:val="24"/>
              </w:rPr>
              <w:t xml:space="preserve">Belief that good/evil spirits can affect </w:t>
            </w:r>
            <w:proofErr w:type="spellStart"/>
            <w:r w:rsidRPr="00CE2F15">
              <w:rPr>
                <w:szCs w:val="24"/>
              </w:rPr>
              <w:t>well being</w:t>
            </w:r>
            <w:proofErr w:type="spellEnd"/>
            <w:r w:rsidRPr="00CE2F15">
              <w:rPr>
                <w:szCs w:val="24"/>
              </w:rPr>
              <w:t xml:space="preserve"> and spirit of the dead person </w:t>
            </w:r>
          </w:p>
        </w:tc>
      </w:tr>
    </w:tbl>
    <w:p w:rsidR="00C5447D" w:rsidRDefault="00595B9D" w:rsidP="009267EA">
      <w:pPr>
        <w:pStyle w:val="APA"/>
      </w:pPr>
      <w:r>
        <w:lastRenderedPageBreak/>
        <w:t xml:space="preserve">8. What role does a </w:t>
      </w:r>
      <w:proofErr w:type="spellStart"/>
      <w:r>
        <w:t>Curandero</w:t>
      </w:r>
      <w:proofErr w:type="spellEnd"/>
      <w:r>
        <w:t xml:space="preserve"> serve in the Hispanic culture?  Provide at least two herbs commonly used for depression as a complementary health measure.  A </w:t>
      </w:r>
      <w:proofErr w:type="spellStart"/>
      <w:r>
        <w:t>Curandero</w:t>
      </w:r>
      <w:proofErr w:type="spellEnd"/>
      <w:r>
        <w:t xml:space="preserve"> is a general practitioner of Mexican folk healing </w:t>
      </w:r>
      <w:sdt>
        <w:sdtPr>
          <w:id w:val="1369030362"/>
          <w:citation/>
        </w:sdtPr>
        <w:sdtEndPr/>
        <w:sdtContent>
          <w:r>
            <w:fldChar w:fldCharType="begin"/>
          </w:r>
          <w:r>
            <w:instrText xml:space="preserve"> CITATION Tal01 \l 1033 </w:instrText>
          </w:r>
          <w:r>
            <w:fldChar w:fldCharType="separate"/>
          </w:r>
          <w:r>
            <w:rPr>
              <w:noProof/>
            </w:rPr>
            <w:t>(Talamantes, Lindeman, &amp; Mouton, 2001)</w:t>
          </w:r>
          <w:r>
            <w:fldChar w:fldCharType="end"/>
          </w:r>
        </w:sdtContent>
      </w:sdt>
      <w:r>
        <w:t xml:space="preserve">.  </w:t>
      </w:r>
      <w:r w:rsidR="00391EFF">
        <w:t xml:space="preserve">A </w:t>
      </w:r>
      <w:proofErr w:type="spellStart"/>
      <w:r w:rsidR="00391EFF">
        <w:t>Curandero</w:t>
      </w:r>
      <w:proofErr w:type="spellEnd"/>
      <w:r w:rsidR="00391EFF">
        <w:t xml:space="preserve"> is a healer that uses alternative medicine.  </w:t>
      </w:r>
      <w:r w:rsidR="00FD31CE">
        <w:t xml:space="preserve">Two </w:t>
      </w:r>
      <w:proofErr w:type="spellStart"/>
      <w:r w:rsidR="00FD31CE">
        <w:t>hebs</w:t>
      </w:r>
      <w:proofErr w:type="spellEnd"/>
      <w:r w:rsidR="00FD31CE">
        <w:t xml:space="preserve"> commonly used as a complementary health measure include St. John’s </w:t>
      </w:r>
      <w:proofErr w:type="spellStart"/>
      <w:r w:rsidR="00FD31CE">
        <w:t>Wort</w:t>
      </w:r>
      <w:proofErr w:type="spellEnd"/>
      <w:r w:rsidR="00FD31CE">
        <w:t xml:space="preserve"> and Ginkgo </w:t>
      </w:r>
      <w:proofErr w:type="spellStart"/>
      <w:r w:rsidR="00FD31CE">
        <w:t>Biloba</w:t>
      </w:r>
      <w:proofErr w:type="spellEnd"/>
      <w:r w:rsidR="00FD31CE">
        <w:t xml:space="preserve"> </w:t>
      </w:r>
      <w:sdt>
        <w:sdtPr>
          <w:id w:val="181026007"/>
          <w:citation/>
        </w:sdtPr>
        <w:sdtEndPr/>
        <w:sdtContent>
          <w:r w:rsidR="00FD31CE">
            <w:fldChar w:fldCharType="begin"/>
          </w:r>
          <w:r w:rsidR="00FD31CE">
            <w:instrText xml:space="preserve"> CITATION Alp12 \l 1033 </w:instrText>
          </w:r>
          <w:r w:rsidR="00FD31CE">
            <w:fldChar w:fldCharType="separate"/>
          </w:r>
          <w:r w:rsidR="00FD31CE">
            <w:rPr>
              <w:noProof/>
            </w:rPr>
            <w:t>(Alprazolam.org, 2012)</w:t>
          </w:r>
          <w:r w:rsidR="00FD31CE">
            <w:fldChar w:fldCharType="end"/>
          </w:r>
        </w:sdtContent>
      </w:sdt>
      <w:r w:rsidR="00FD31CE">
        <w:t>.</w:t>
      </w: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9267EA">
      <w:pPr>
        <w:pStyle w:val="APA"/>
      </w:pPr>
    </w:p>
    <w:p w:rsidR="00FD31CE" w:rsidRDefault="00FD31CE" w:rsidP="00FD31CE">
      <w:pPr>
        <w:pStyle w:val="APA"/>
        <w:jc w:val="center"/>
      </w:pPr>
      <w:r>
        <w:lastRenderedPageBreak/>
        <w:t>Reference</w:t>
      </w:r>
    </w:p>
    <w:p w:rsidR="00FD31CE" w:rsidRPr="00FD31CE" w:rsidRDefault="00FD31CE" w:rsidP="00FD31CE">
      <w:pPr>
        <w:pStyle w:val="Bibliography"/>
        <w:spacing w:line="480" w:lineRule="auto"/>
        <w:ind w:left="720" w:hanging="720"/>
        <w:rPr>
          <w:noProof/>
          <w:sz w:val="24"/>
          <w:szCs w:val="24"/>
        </w:rPr>
      </w:pPr>
      <w:r w:rsidRPr="00FD31CE">
        <w:rPr>
          <w:sz w:val="24"/>
          <w:szCs w:val="24"/>
        </w:rPr>
        <w:fldChar w:fldCharType="begin"/>
      </w:r>
      <w:r w:rsidRPr="00FD31CE">
        <w:rPr>
          <w:sz w:val="24"/>
          <w:szCs w:val="24"/>
        </w:rPr>
        <w:instrText xml:space="preserve"> BIBLIOGRAPHY  \l 1033 </w:instrText>
      </w:r>
      <w:r w:rsidRPr="00FD31CE">
        <w:rPr>
          <w:sz w:val="24"/>
          <w:szCs w:val="24"/>
        </w:rPr>
        <w:fldChar w:fldCharType="separate"/>
      </w:r>
      <w:r w:rsidRPr="00FD31CE">
        <w:rPr>
          <w:noProof/>
          <w:sz w:val="24"/>
          <w:szCs w:val="24"/>
        </w:rPr>
        <w:t xml:space="preserve">Cultural Competence for Healthcare Providers. (2009). </w:t>
      </w:r>
      <w:r w:rsidRPr="00FD31CE">
        <w:rPr>
          <w:i/>
          <w:iCs/>
          <w:noProof/>
          <w:sz w:val="24"/>
          <w:szCs w:val="24"/>
        </w:rPr>
        <w:t>Jefferson Center for Interprofessional Education (video)</w:t>
      </w:r>
      <w:r w:rsidRPr="00FD31CE">
        <w:rPr>
          <w:noProof/>
          <w:sz w:val="24"/>
          <w:szCs w:val="24"/>
        </w:rPr>
        <w:t>. www.youtube.com.</w:t>
      </w:r>
    </w:p>
    <w:p w:rsidR="00FD31CE" w:rsidRPr="00FD31CE" w:rsidRDefault="00FD31CE" w:rsidP="00FD31CE">
      <w:pPr>
        <w:pStyle w:val="Bibliography"/>
        <w:spacing w:line="480" w:lineRule="auto"/>
        <w:ind w:left="720" w:hanging="720"/>
        <w:rPr>
          <w:noProof/>
          <w:sz w:val="24"/>
          <w:szCs w:val="24"/>
        </w:rPr>
      </w:pPr>
      <w:r w:rsidRPr="00FD31CE">
        <w:rPr>
          <w:noProof/>
          <w:sz w:val="24"/>
          <w:szCs w:val="24"/>
        </w:rPr>
        <w:t xml:space="preserve">Alprazolam.org. (2012). </w:t>
      </w:r>
      <w:r w:rsidRPr="00FD31CE">
        <w:rPr>
          <w:i/>
          <w:iCs/>
          <w:noProof/>
          <w:sz w:val="24"/>
          <w:szCs w:val="24"/>
        </w:rPr>
        <w:t xml:space="preserve">Herbs for </w:t>
      </w:r>
      <w:r w:rsidR="0082188A">
        <w:rPr>
          <w:i/>
          <w:iCs/>
          <w:noProof/>
          <w:color w:val="FF0000"/>
          <w:sz w:val="24"/>
          <w:szCs w:val="24"/>
        </w:rPr>
        <w:t>d</w:t>
      </w:r>
      <w:r w:rsidRPr="00FD31CE">
        <w:rPr>
          <w:i/>
          <w:iCs/>
          <w:noProof/>
          <w:sz w:val="24"/>
          <w:szCs w:val="24"/>
        </w:rPr>
        <w:t xml:space="preserve">epression and </w:t>
      </w:r>
      <w:r w:rsidR="0082188A">
        <w:rPr>
          <w:i/>
          <w:iCs/>
          <w:noProof/>
          <w:color w:val="FF0000"/>
          <w:sz w:val="24"/>
          <w:szCs w:val="24"/>
        </w:rPr>
        <w:t>a</w:t>
      </w:r>
      <w:r w:rsidRPr="00FD31CE">
        <w:rPr>
          <w:i/>
          <w:iCs/>
          <w:noProof/>
          <w:sz w:val="24"/>
          <w:szCs w:val="24"/>
        </w:rPr>
        <w:t>nxiety</w:t>
      </w:r>
      <w:r w:rsidRPr="00FD31CE">
        <w:rPr>
          <w:noProof/>
          <w:sz w:val="24"/>
          <w:szCs w:val="24"/>
        </w:rPr>
        <w:t>. Retrieved from Alprazolam.org: www.alprazolam.org</w:t>
      </w:r>
    </w:p>
    <w:p w:rsidR="00FD31CE" w:rsidRPr="00FD31CE" w:rsidRDefault="00FD31CE" w:rsidP="00FD31CE">
      <w:pPr>
        <w:pStyle w:val="Bibliography"/>
        <w:spacing w:line="480" w:lineRule="auto"/>
        <w:ind w:left="720" w:hanging="720"/>
        <w:rPr>
          <w:noProof/>
          <w:sz w:val="24"/>
          <w:szCs w:val="24"/>
        </w:rPr>
      </w:pPr>
      <w:r w:rsidRPr="00FD31CE">
        <w:rPr>
          <w:noProof/>
          <w:sz w:val="24"/>
          <w:szCs w:val="24"/>
        </w:rPr>
        <w:t xml:space="preserve">McBride, M. (n.d.). </w:t>
      </w:r>
      <w:r w:rsidRPr="00FD31CE">
        <w:rPr>
          <w:i/>
          <w:iCs/>
          <w:noProof/>
          <w:sz w:val="24"/>
          <w:szCs w:val="24"/>
        </w:rPr>
        <w:t xml:space="preserve">Ethnogeriatrics and </w:t>
      </w:r>
      <w:r w:rsidR="0082188A">
        <w:rPr>
          <w:i/>
          <w:iCs/>
          <w:noProof/>
          <w:color w:val="FF0000"/>
          <w:sz w:val="24"/>
          <w:szCs w:val="24"/>
        </w:rPr>
        <w:t>c</w:t>
      </w:r>
      <w:r w:rsidRPr="00FD31CE">
        <w:rPr>
          <w:i/>
          <w:iCs/>
          <w:noProof/>
          <w:sz w:val="24"/>
          <w:szCs w:val="24"/>
        </w:rPr>
        <w:t xml:space="preserve">ultural </w:t>
      </w:r>
      <w:r w:rsidR="0082188A">
        <w:rPr>
          <w:i/>
          <w:iCs/>
          <w:noProof/>
          <w:color w:val="FF0000"/>
          <w:sz w:val="24"/>
          <w:szCs w:val="24"/>
        </w:rPr>
        <w:t>c</w:t>
      </w:r>
      <w:r w:rsidRPr="00FD31CE">
        <w:rPr>
          <w:i/>
          <w:iCs/>
          <w:noProof/>
          <w:sz w:val="24"/>
          <w:szCs w:val="24"/>
        </w:rPr>
        <w:t xml:space="preserve">ompetence for </w:t>
      </w:r>
      <w:r w:rsidR="0082188A">
        <w:rPr>
          <w:i/>
          <w:iCs/>
          <w:noProof/>
          <w:color w:val="FF0000"/>
          <w:sz w:val="24"/>
          <w:szCs w:val="24"/>
        </w:rPr>
        <w:t>n</w:t>
      </w:r>
      <w:r w:rsidRPr="00FD31CE">
        <w:rPr>
          <w:i/>
          <w:iCs/>
          <w:noProof/>
          <w:sz w:val="24"/>
          <w:szCs w:val="24"/>
        </w:rPr>
        <w:t xml:space="preserve">ursing </w:t>
      </w:r>
      <w:r w:rsidR="0082188A">
        <w:rPr>
          <w:i/>
          <w:iCs/>
          <w:noProof/>
          <w:color w:val="FF0000"/>
          <w:sz w:val="24"/>
          <w:szCs w:val="24"/>
        </w:rPr>
        <w:t>p</w:t>
      </w:r>
      <w:r w:rsidRPr="00FD31CE">
        <w:rPr>
          <w:i/>
          <w:iCs/>
          <w:noProof/>
          <w:sz w:val="24"/>
          <w:szCs w:val="24"/>
        </w:rPr>
        <w:t>ractice</w:t>
      </w:r>
      <w:r w:rsidRPr="00FD31CE">
        <w:rPr>
          <w:noProof/>
          <w:sz w:val="24"/>
          <w:szCs w:val="24"/>
        </w:rPr>
        <w:t>. Retrieved from ConsultGeriRN.org: www.consultgerirn.org</w:t>
      </w:r>
    </w:p>
    <w:p w:rsidR="00FD31CE" w:rsidRPr="00FD31CE" w:rsidRDefault="00FD31CE" w:rsidP="00FD31CE">
      <w:pPr>
        <w:pStyle w:val="Bibliography"/>
        <w:spacing w:line="480" w:lineRule="auto"/>
        <w:ind w:left="720" w:hanging="720"/>
        <w:rPr>
          <w:noProof/>
          <w:sz w:val="24"/>
          <w:szCs w:val="24"/>
        </w:rPr>
      </w:pPr>
      <w:r w:rsidRPr="00FD31CE">
        <w:rPr>
          <w:noProof/>
          <w:sz w:val="24"/>
          <w:szCs w:val="24"/>
        </w:rPr>
        <w:t xml:space="preserve">Talamantes, M., Lindeman, R., &amp; Mouton, C. (2001). </w:t>
      </w:r>
      <w:r w:rsidRPr="00FD31CE">
        <w:rPr>
          <w:i/>
          <w:iCs/>
          <w:noProof/>
          <w:sz w:val="24"/>
          <w:szCs w:val="24"/>
        </w:rPr>
        <w:t xml:space="preserve">Health and </w:t>
      </w:r>
      <w:r w:rsidR="0082188A">
        <w:rPr>
          <w:i/>
          <w:iCs/>
          <w:noProof/>
          <w:color w:val="FF0000"/>
          <w:sz w:val="24"/>
          <w:szCs w:val="24"/>
        </w:rPr>
        <w:t>h</w:t>
      </w:r>
      <w:r w:rsidRPr="00FD31CE">
        <w:rPr>
          <w:i/>
          <w:iCs/>
          <w:noProof/>
          <w:sz w:val="24"/>
          <w:szCs w:val="24"/>
        </w:rPr>
        <w:t xml:space="preserve">ealth </w:t>
      </w:r>
      <w:r w:rsidR="0082188A">
        <w:rPr>
          <w:i/>
          <w:iCs/>
          <w:noProof/>
          <w:color w:val="FF0000"/>
          <w:sz w:val="24"/>
          <w:szCs w:val="24"/>
        </w:rPr>
        <w:t>c</w:t>
      </w:r>
      <w:r w:rsidRPr="00FD31CE">
        <w:rPr>
          <w:i/>
          <w:iCs/>
          <w:noProof/>
          <w:sz w:val="24"/>
          <w:szCs w:val="24"/>
        </w:rPr>
        <w:t xml:space="preserve">are of Hispanic/Latino American </w:t>
      </w:r>
      <w:r w:rsidR="0082188A">
        <w:rPr>
          <w:i/>
          <w:iCs/>
          <w:noProof/>
          <w:color w:val="FF0000"/>
          <w:sz w:val="24"/>
          <w:szCs w:val="24"/>
        </w:rPr>
        <w:t>e</w:t>
      </w:r>
      <w:r w:rsidRPr="00FD31CE">
        <w:rPr>
          <w:i/>
          <w:iCs/>
          <w:noProof/>
          <w:sz w:val="24"/>
          <w:szCs w:val="24"/>
        </w:rPr>
        <w:t xml:space="preserve">lders </w:t>
      </w:r>
      <w:r w:rsidRPr="0082188A">
        <w:rPr>
          <w:iCs/>
          <w:noProof/>
          <w:color w:val="FF0000"/>
          <w:sz w:val="24"/>
          <w:szCs w:val="24"/>
        </w:rPr>
        <w:t>(2nd ed.)</w:t>
      </w:r>
      <w:r w:rsidRPr="0082188A">
        <w:rPr>
          <w:noProof/>
          <w:color w:val="FF0000"/>
          <w:sz w:val="24"/>
          <w:szCs w:val="24"/>
        </w:rPr>
        <w:t>.</w:t>
      </w:r>
      <w:r w:rsidRPr="00FD31CE">
        <w:rPr>
          <w:noProof/>
          <w:sz w:val="24"/>
          <w:szCs w:val="24"/>
        </w:rPr>
        <w:t xml:space="preserve"> Retrieved from Stanford Geriatric Center: www.stanford.edu</w:t>
      </w:r>
    </w:p>
    <w:p w:rsidR="00FD31CE" w:rsidRPr="009267EA" w:rsidRDefault="00FD31CE" w:rsidP="00FD31CE">
      <w:pPr>
        <w:pStyle w:val="APA"/>
      </w:pPr>
      <w:r w:rsidRPr="00FD31CE">
        <w:rPr>
          <w:szCs w:val="24"/>
        </w:rPr>
        <w:fldChar w:fldCharType="end"/>
      </w:r>
    </w:p>
    <w:p w:rsidR="005E102A" w:rsidRPr="005E102A" w:rsidRDefault="005E102A" w:rsidP="005E102A">
      <w:pPr>
        <w:pStyle w:val="APA"/>
      </w:pPr>
    </w:p>
    <w:sectPr w:rsidR="005E102A" w:rsidRPr="005E102A" w:rsidSect="005E102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03" w:rsidRDefault="00056503">
      <w:r>
        <w:separator/>
      </w:r>
    </w:p>
  </w:endnote>
  <w:endnote w:type="continuationSeparator" w:id="0">
    <w:p w:rsidR="00056503" w:rsidRDefault="000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Default="005E1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Default="005E1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Default="005E1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03" w:rsidRDefault="00056503">
      <w:r>
        <w:separator/>
      </w:r>
    </w:p>
  </w:footnote>
  <w:footnote w:type="continuationSeparator" w:id="0">
    <w:p w:rsidR="00056503" w:rsidRDefault="0005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Default="005E1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Pr="005E102A" w:rsidRDefault="005E102A" w:rsidP="005E102A">
    <w:pPr>
      <w:pStyle w:val="APAPageHeading"/>
    </w:pPr>
    <w:r>
      <w:t>CASE STUDY 18.1 AND 18.2</w:t>
    </w:r>
    <w:r>
      <w:tab/>
    </w:r>
    <w:r>
      <w:fldChar w:fldCharType="begin"/>
    </w:r>
    <w:r>
      <w:instrText xml:space="preserve"> PAGE  \* MERGEFORMAT </w:instrText>
    </w:r>
    <w:r>
      <w:fldChar w:fldCharType="separate"/>
    </w:r>
    <w:r w:rsidR="0082188A">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Pr="005E102A" w:rsidRDefault="005E102A" w:rsidP="005E102A">
    <w:pPr>
      <w:pStyle w:val="APAPageHeading"/>
    </w:pPr>
    <w:r>
      <w:t>Running head: CASE STUDY 18.1 AND 18.2</w:t>
    </w:r>
    <w:r>
      <w:tab/>
    </w:r>
    <w:r>
      <w:fldChar w:fldCharType="begin"/>
    </w:r>
    <w:r>
      <w:instrText xml:space="preserve"> PAGE  \* MERGEFORMAT </w:instrText>
    </w:r>
    <w:r>
      <w:fldChar w:fldCharType="separate"/>
    </w:r>
    <w:r w:rsidR="0082188A">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2A" w:rsidRPr="005E102A" w:rsidRDefault="005E102A" w:rsidP="005E102A">
    <w:pPr>
      <w:pStyle w:val="APAPageHeading"/>
    </w:pPr>
    <w:r>
      <w:t>CASE STUDY 18.1 AND 18.2</w:t>
    </w:r>
    <w:r>
      <w:tab/>
    </w:r>
    <w:r>
      <w:fldChar w:fldCharType="begin"/>
    </w:r>
    <w:r>
      <w:instrText xml:space="preserve"> PAGE  \* MERGEFORMAT </w:instrText>
    </w:r>
    <w:r>
      <w:fldChar w:fldCharType="separate"/>
    </w:r>
    <w:r w:rsidR="0082188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CASE STUDY 18.1 AND 18.2"/>
    <w:docVar w:name="cIsAbstract" w:val="False"/>
    <w:docVar w:name="cPaperAPAOrMLA" w:val="1"/>
    <w:docVar w:name="cUniquePaperID" w:val="409817823611111I0"/>
    <w:docVar w:name="LastEditedVersion" w:val="5"/>
  </w:docVars>
  <w:rsids>
    <w:rsidRoot w:val="005E102A"/>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6503"/>
    <w:rsid w:val="000570EA"/>
    <w:rsid w:val="00060F59"/>
    <w:rsid w:val="000625FF"/>
    <w:rsid w:val="00063D22"/>
    <w:rsid w:val="000645CE"/>
    <w:rsid w:val="00064753"/>
    <w:rsid w:val="00065715"/>
    <w:rsid w:val="00066EEF"/>
    <w:rsid w:val="000676E9"/>
    <w:rsid w:val="00067855"/>
    <w:rsid w:val="0007012E"/>
    <w:rsid w:val="000718A5"/>
    <w:rsid w:val="000752E0"/>
    <w:rsid w:val="00075B68"/>
    <w:rsid w:val="000777BB"/>
    <w:rsid w:val="00077CA5"/>
    <w:rsid w:val="00080A06"/>
    <w:rsid w:val="00080A96"/>
    <w:rsid w:val="0008185E"/>
    <w:rsid w:val="00082D96"/>
    <w:rsid w:val="00083CA1"/>
    <w:rsid w:val="00084594"/>
    <w:rsid w:val="00085A28"/>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417D"/>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1FF2"/>
    <w:rsid w:val="0015261A"/>
    <w:rsid w:val="00152C55"/>
    <w:rsid w:val="00153323"/>
    <w:rsid w:val="00154EAA"/>
    <w:rsid w:val="00156992"/>
    <w:rsid w:val="00157AB3"/>
    <w:rsid w:val="001607F0"/>
    <w:rsid w:val="001608C4"/>
    <w:rsid w:val="00161C96"/>
    <w:rsid w:val="00162410"/>
    <w:rsid w:val="00163CF7"/>
    <w:rsid w:val="00164E7D"/>
    <w:rsid w:val="00165696"/>
    <w:rsid w:val="00165BB7"/>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78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0FD"/>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308"/>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1EFF"/>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84C43"/>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250B"/>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831"/>
    <w:rsid w:val="00591CA7"/>
    <w:rsid w:val="00592775"/>
    <w:rsid w:val="00592945"/>
    <w:rsid w:val="005933AB"/>
    <w:rsid w:val="00593C02"/>
    <w:rsid w:val="00594358"/>
    <w:rsid w:val="005943CE"/>
    <w:rsid w:val="00595B9D"/>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02A"/>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2BC"/>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5343"/>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88A"/>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67EA"/>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24AF"/>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D7702"/>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47"/>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44F"/>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447D"/>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0D3"/>
    <w:rsid w:val="00CA1974"/>
    <w:rsid w:val="00CA1CD4"/>
    <w:rsid w:val="00CA1DE9"/>
    <w:rsid w:val="00CA20B1"/>
    <w:rsid w:val="00CA20FB"/>
    <w:rsid w:val="00CA2551"/>
    <w:rsid w:val="00CA3BD7"/>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2F15"/>
    <w:rsid w:val="00CE4BF9"/>
    <w:rsid w:val="00CE4F60"/>
    <w:rsid w:val="00CE50F9"/>
    <w:rsid w:val="00CE5166"/>
    <w:rsid w:val="00CE5F08"/>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84C"/>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101A"/>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1F88"/>
    <w:rsid w:val="00DB4050"/>
    <w:rsid w:val="00DB7D85"/>
    <w:rsid w:val="00DC0841"/>
    <w:rsid w:val="00DC2934"/>
    <w:rsid w:val="00DC327D"/>
    <w:rsid w:val="00DC3C6C"/>
    <w:rsid w:val="00DC5A00"/>
    <w:rsid w:val="00DC5AD4"/>
    <w:rsid w:val="00DC6F41"/>
    <w:rsid w:val="00DD15EB"/>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19C4"/>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A73D4"/>
    <w:rsid w:val="00EB0B0A"/>
    <w:rsid w:val="00EB2024"/>
    <w:rsid w:val="00EB36A5"/>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517D"/>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31CE"/>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84C43"/>
    <w:rPr>
      <w:rFonts w:ascii="Tahoma" w:hAnsi="Tahoma" w:cs="Tahoma"/>
      <w:sz w:val="16"/>
      <w:szCs w:val="16"/>
    </w:rPr>
  </w:style>
  <w:style w:type="character" w:customStyle="1" w:styleId="BalloonTextChar">
    <w:name w:val="Balloon Text Char"/>
    <w:basedOn w:val="DefaultParagraphFont"/>
    <w:link w:val="BalloonText"/>
    <w:rsid w:val="00484C43"/>
    <w:rPr>
      <w:rFonts w:ascii="Tahoma" w:hAnsi="Tahoma" w:cs="Tahoma"/>
      <w:sz w:val="16"/>
      <w:szCs w:val="16"/>
    </w:rPr>
  </w:style>
  <w:style w:type="table" w:styleId="TableGrid">
    <w:name w:val="Table Grid"/>
    <w:basedOn w:val="TableNormal"/>
    <w:rsid w:val="00CA3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C5343"/>
  </w:style>
  <w:style w:type="paragraph" w:styleId="EndnoteText">
    <w:name w:val="endnote text"/>
    <w:basedOn w:val="Normal"/>
    <w:link w:val="EndnoteTextChar"/>
    <w:rsid w:val="0082188A"/>
  </w:style>
  <w:style w:type="character" w:customStyle="1" w:styleId="EndnoteTextChar">
    <w:name w:val="Endnote Text Char"/>
    <w:basedOn w:val="DefaultParagraphFont"/>
    <w:link w:val="EndnoteText"/>
    <w:rsid w:val="0082188A"/>
  </w:style>
  <w:style w:type="character" w:styleId="EndnoteReference">
    <w:name w:val="endnote reference"/>
    <w:basedOn w:val="DefaultParagraphFont"/>
    <w:rsid w:val="008218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84C43"/>
    <w:rPr>
      <w:rFonts w:ascii="Tahoma" w:hAnsi="Tahoma" w:cs="Tahoma"/>
      <w:sz w:val="16"/>
      <w:szCs w:val="16"/>
    </w:rPr>
  </w:style>
  <w:style w:type="character" w:customStyle="1" w:styleId="BalloonTextChar">
    <w:name w:val="Balloon Text Char"/>
    <w:basedOn w:val="DefaultParagraphFont"/>
    <w:link w:val="BalloonText"/>
    <w:rsid w:val="00484C43"/>
    <w:rPr>
      <w:rFonts w:ascii="Tahoma" w:hAnsi="Tahoma" w:cs="Tahoma"/>
      <w:sz w:val="16"/>
      <w:szCs w:val="16"/>
    </w:rPr>
  </w:style>
  <w:style w:type="table" w:styleId="TableGrid">
    <w:name w:val="Table Grid"/>
    <w:basedOn w:val="TableNormal"/>
    <w:rsid w:val="00CA3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C5343"/>
  </w:style>
  <w:style w:type="paragraph" w:styleId="EndnoteText">
    <w:name w:val="endnote text"/>
    <w:basedOn w:val="Normal"/>
    <w:link w:val="EndnoteTextChar"/>
    <w:rsid w:val="0082188A"/>
  </w:style>
  <w:style w:type="character" w:customStyle="1" w:styleId="EndnoteTextChar">
    <w:name w:val="Endnote Text Char"/>
    <w:basedOn w:val="DefaultParagraphFont"/>
    <w:link w:val="EndnoteText"/>
    <w:rsid w:val="0082188A"/>
  </w:style>
  <w:style w:type="character" w:styleId="EndnoteReference">
    <w:name w:val="endnote reference"/>
    <w:basedOn w:val="DefaultParagraphFont"/>
    <w:rsid w:val="00821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Cul09</b:Tag>
    <b:SourceType>Misc</b:SourceType>
    <b:Guid>{8104ADF2-9D23-454F-A73F-E5127906C8E7}</b:Guid>
    <b:Title>Cultural Competence for Healthcare Providers</b:Title>
    <b:Year>2009</b:Year>
    <b:PublicationTitle>Jefferson Center for Interprofessional Education (video)</b:PublicationTitle>
    <b:Publisher>www.youtube.com</b:Publisher>
    <b:RefOrder>2</b:RefOrder>
  </b:Source>
  <b:Source>
    <b:Tag>McB10</b:Tag>
    <b:SourceType>InternetSite</b:SourceType>
    <b:Guid>{FB7F06FD-AB30-4D0D-ABDF-B9F5FE2152B5}</b:Guid>
    <b:Author>
      <b:Author>
        <b:NameList>
          <b:Person>
            <b:Last>McBride</b:Last>
            <b:First>Melen</b:First>
          </b:Person>
        </b:NameList>
      </b:Author>
    </b:Author>
    <b:Title>Ethnogeriatrics and Cultural Competence for Nursing Practice</b:Title>
    <b:InternetSiteTitle>ConsultGeriRN.org</b:InternetSiteTitle>
    <b:Year>n.d.</b:Year>
    <b:URL>www.consultgerirn.org</b:URL>
    <b:RefOrder>1</b:RefOrder>
  </b:Source>
  <b:Source>
    <b:Tag>Tal01</b:Tag>
    <b:SourceType>InternetSite</b:SourceType>
    <b:Guid>{3FC863FD-8394-417E-924E-E4F4CE123FAB}</b:Guid>
    <b:Author>
      <b:Author>
        <b:NameList>
          <b:Person>
            <b:Last>Talamantes</b:Last>
            <b:First>Melissa</b:First>
          </b:Person>
          <b:Person>
            <b:Last>Lindeman</b:Last>
            <b:First>Robert</b:First>
          </b:Person>
          <b:Person>
            <b:Last>Mouton</b:Last>
            <b:First>Charles</b:First>
          </b:Person>
        </b:NameList>
      </b:Author>
    </b:Author>
    <b:Title>Health and Health Care of Hispanic/Latino American Elders (2nd ed.)</b:Title>
    <b:InternetSiteTitle>Stanford Geriatric Center</b:InternetSiteTitle>
    <b:Year>2001</b:Year>
    <b:URL>www.stanford.edu</b:URL>
    <b:RefOrder>3</b:RefOrder>
  </b:Source>
  <b:Source>
    <b:Tag>Alp12</b:Tag>
    <b:SourceType>InternetSite</b:SourceType>
    <b:Guid>{4CDDDFA6-7555-4539-B60D-A317463D119B}</b:Guid>
    <b:Author>
      <b:Author>
        <b:NameList>
          <b:Person>
            <b:Last>Alprazolam.org</b:Last>
          </b:Person>
        </b:NameList>
      </b:Author>
    </b:Author>
    <b:Title>Herbs for Depression and Anxiety</b:Title>
    <b:InternetSiteTitle>Alprazolam.org</b:InternetSiteTitle>
    <b:Year>2012</b:Year>
    <b:URL>www.alprazolam.org</b:URL>
    <b:RefOrder>4</b:RefOrder>
  </b:Source>
</b:Sources>
</file>

<file path=customXml/itemProps1.xml><?xml version="1.0" encoding="utf-8"?>
<ds:datastoreItem xmlns:ds="http://schemas.openxmlformats.org/officeDocument/2006/customXml" ds:itemID="{8B39D06C-0415-4179-AC69-62AA2DC2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0</TotalTime>
  <Pages>7</Pages>
  <Words>1194</Words>
  <Characters>7207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Case Study 18.1 and 18.2</vt:lpstr>
    </vt:vector>
  </TitlesOfParts>
  <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18.1 and 18.2</dc:title>
  <dc:subject>Copyright</dc:subject>
  <dc:creator>Debra Decker</dc:creator>
  <cp:lastModifiedBy>MEdwards</cp:lastModifiedBy>
  <cp:revision>2</cp:revision>
  <dcterms:created xsi:type="dcterms:W3CDTF">2012-04-26T21:12:00Z</dcterms:created>
  <dcterms:modified xsi:type="dcterms:W3CDTF">2012-04-26T21:12:00Z</dcterms:modified>
</cp:coreProperties>
</file>