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168" w:rsidRPr="00C95D7C" w:rsidRDefault="00C95D7C">
      <w:pPr>
        <w:rPr>
          <w:color w:val="FF0000"/>
        </w:rPr>
      </w:pPr>
      <w:r w:rsidRPr="00C95D7C">
        <w:rPr>
          <w:color w:val="FF0000"/>
        </w:rPr>
        <w:t>15/30 where is the other case study</w:t>
      </w:r>
    </w:p>
    <w:p w:rsidR="00103AF3" w:rsidRDefault="00103AF3"/>
    <w:p w:rsidR="00103AF3" w:rsidRPr="00103AF3" w:rsidRDefault="005717C6" w:rsidP="00A27C90">
      <w:pPr>
        <w:spacing w:line="360" w:lineRule="auto"/>
        <w:jc w:val="center"/>
        <w:rPr>
          <w:rFonts w:ascii="Times New Roman" w:hAnsi="Times New Roman" w:cs="Times New Roman"/>
          <w:sz w:val="24"/>
          <w:szCs w:val="24"/>
        </w:rPr>
      </w:pPr>
      <w:r>
        <w:rPr>
          <w:rFonts w:ascii="Times New Roman" w:hAnsi="Times New Roman" w:cs="Times New Roman"/>
          <w:sz w:val="24"/>
          <w:szCs w:val="24"/>
        </w:rPr>
        <w:t>Osteoporosis</w:t>
      </w:r>
    </w:p>
    <w:p w:rsidR="00103AF3" w:rsidRPr="00103AF3" w:rsidRDefault="00103AF3" w:rsidP="00A27C90">
      <w:pPr>
        <w:spacing w:line="360" w:lineRule="auto"/>
        <w:jc w:val="center"/>
        <w:rPr>
          <w:rFonts w:ascii="Times New Roman" w:hAnsi="Times New Roman" w:cs="Times New Roman"/>
          <w:sz w:val="24"/>
          <w:szCs w:val="24"/>
        </w:rPr>
      </w:pPr>
      <w:r w:rsidRPr="00103AF3">
        <w:rPr>
          <w:rFonts w:ascii="Times New Roman" w:hAnsi="Times New Roman" w:cs="Times New Roman"/>
          <w:sz w:val="24"/>
          <w:szCs w:val="24"/>
        </w:rPr>
        <w:t xml:space="preserve">Chelsea E. </w:t>
      </w:r>
      <w:proofErr w:type="spellStart"/>
      <w:r w:rsidRPr="00103AF3">
        <w:rPr>
          <w:rFonts w:ascii="Times New Roman" w:hAnsi="Times New Roman" w:cs="Times New Roman"/>
          <w:sz w:val="24"/>
          <w:szCs w:val="24"/>
        </w:rPr>
        <w:t>Rosnett</w:t>
      </w:r>
      <w:proofErr w:type="spellEnd"/>
    </w:p>
    <w:p w:rsidR="00103AF3" w:rsidRPr="00103AF3" w:rsidRDefault="00103AF3" w:rsidP="00A27C90">
      <w:pPr>
        <w:spacing w:line="360" w:lineRule="auto"/>
        <w:jc w:val="center"/>
        <w:rPr>
          <w:rFonts w:ascii="Times New Roman" w:hAnsi="Times New Roman" w:cs="Times New Roman"/>
          <w:sz w:val="24"/>
          <w:szCs w:val="24"/>
        </w:rPr>
      </w:pPr>
      <w:r w:rsidRPr="00103AF3">
        <w:rPr>
          <w:rFonts w:ascii="Times New Roman" w:hAnsi="Times New Roman" w:cs="Times New Roman"/>
          <w:sz w:val="24"/>
          <w:szCs w:val="24"/>
        </w:rPr>
        <w:t>Lakeview College of Nursing</w:t>
      </w:r>
    </w:p>
    <w:p w:rsidR="00103AF3" w:rsidRPr="00103AF3" w:rsidRDefault="00103AF3" w:rsidP="00A27C90">
      <w:pPr>
        <w:spacing w:line="360" w:lineRule="auto"/>
        <w:jc w:val="center"/>
        <w:rPr>
          <w:rFonts w:ascii="Times New Roman" w:hAnsi="Times New Roman" w:cs="Times New Roman"/>
          <w:sz w:val="24"/>
          <w:szCs w:val="24"/>
        </w:rPr>
      </w:pPr>
      <w:r w:rsidRPr="00103AF3">
        <w:rPr>
          <w:rFonts w:ascii="Times New Roman" w:hAnsi="Times New Roman" w:cs="Times New Roman"/>
          <w:sz w:val="24"/>
          <w:szCs w:val="24"/>
        </w:rPr>
        <w:t xml:space="preserve">N309: Nursing of the </w:t>
      </w:r>
      <w:proofErr w:type="spellStart"/>
      <w:r w:rsidRPr="00103AF3">
        <w:rPr>
          <w:rFonts w:ascii="Times New Roman" w:hAnsi="Times New Roman" w:cs="Times New Roman"/>
          <w:sz w:val="24"/>
          <w:szCs w:val="24"/>
        </w:rPr>
        <w:t>Gerontological</w:t>
      </w:r>
      <w:proofErr w:type="spellEnd"/>
      <w:r w:rsidRPr="00103AF3">
        <w:rPr>
          <w:rFonts w:ascii="Times New Roman" w:hAnsi="Times New Roman" w:cs="Times New Roman"/>
          <w:sz w:val="24"/>
          <w:szCs w:val="24"/>
        </w:rPr>
        <w:t xml:space="preserve"> Client</w:t>
      </w:r>
    </w:p>
    <w:p w:rsidR="00103AF3" w:rsidRDefault="005717C6" w:rsidP="00A27C90">
      <w:pPr>
        <w:spacing w:line="360" w:lineRule="auto"/>
        <w:jc w:val="center"/>
        <w:rPr>
          <w:rFonts w:ascii="Times New Roman" w:hAnsi="Times New Roman" w:cs="Times New Roman"/>
          <w:sz w:val="24"/>
          <w:szCs w:val="24"/>
        </w:rPr>
      </w:pPr>
      <w:r>
        <w:rPr>
          <w:rFonts w:ascii="Times New Roman" w:hAnsi="Times New Roman" w:cs="Times New Roman"/>
          <w:sz w:val="24"/>
          <w:szCs w:val="24"/>
        </w:rPr>
        <w:t>February 27</w:t>
      </w:r>
      <w:r w:rsidR="00103AF3" w:rsidRPr="00103AF3">
        <w:rPr>
          <w:rFonts w:ascii="Times New Roman" w:hAnsi="Times New Roman" w:cs="Times New Roman"/>
          <w:sz w:val="24"/>
          <w:szCs w:val="24"/>
        </w:rPr>
        <w:t>, 2012</w:t>
      </w:r>
    </w:p>
    <w:p w:rsidR="00103AF3" w:rsidRDefault="00103AF3" w:rsidP="00103AF3">
      <w:pPr>
        <w:jc w:val="center"/>
        <w:rPr>
          <w:rFonts w:ascii="Times New Roman" w:hAnsi="Times New Roman" w:cs="Times New Roman"/>
          <w:sz w:val="24"/>
          <w:szCs w:val="24"/>
        </w:rPr>
      </w:pPr>
    </w:p>
    <w:p w:rsidR="00103AF3" w:rsidRDefault="00103AF3" w:rsidP="00103AF3">
      <w:pPr>
        <w:jc w:val="center"/>
        <w:rPr>
          <w:rFonts w:ascii="Times New Roman" w:hAnsi="Times New Roman" w:cs="Times New Roman"/>
          <w:sz w:val="24"/>
          <w:szCs w:val="24"/>
        </w:rPr>
      </w:pPr>
    </w:p>
    <w:p w:rsidR="00103AF3" w:rsidRDefault="00103AF3" w:rsidP="00103AF3">
      <w:pPr>
        <w:jc w:val="center"/>
        <w:rPr>
          <w:rFonts w:ascii="Times New Roman" w:hAnsi="Times New Roman" w:cs="Times New Roman"/>
          <w:sz w:val="24"/>
          <w:szCs w:val="24"/>
        </w:rPr>
      </w:pPr>
    </w:p>
    <w:p w:rsidR="00103AF3" w:rsidRDefault="00103AF3" w:rsidP="00103AF3">
      <w:pPr>
        <w:jc w:val="center"/>
        <w:rPr>
          <w:rFonts w:ascii="Times New Roman" w:hAnsi="Times New Roman" w:cs="Times New Roman"/>
          <w:sz w:val="24"/>
          <w:szCs w:val="24"/>
        </w:rPr>
      </w:pPr>
    </w:p>
    <w:p w:rsidR="00103AF3" w:rsidRDefault="00103AF3" w:rsidP="00103AF3">
      <w:pPr>
        <w:jc w:val="center"/>
        <w:rPr>
          <w:rFonts w:ascii="Times New Roman" w:hAnsi="Times New Roman" w:cs="Times New Roman"/>
          <w:sz w:val="24"/>
          <w:szCs w:val="24"/>
        </w:rPr>
      </w:pPr>
    </w:p>
    <w:p w:rsidR="00103AF3" w:rsidRDefault="00103AF3" w:rsidP="00103AF3">
      <w:pPr>
        <w:jc w:val="center"/>
        <w:rPr>
          <w:rFonts w:ascii="Times New Roman" w:hAnsi="Times New Roman" w:cs="Times New Roman"/>
          <w:sz w:val="24"/>
          <w:szCs w:val="24"/>
        </w:rPr>
      </w:pPr>
    </w:p>
    <w:p w:rsidR="00103AF3" w:rsidRDefault="00103AF3" w:rsidP="00103AF3">
      <w:pPr>
        <w:jc w:val="center"/>
        <w:rPr>
          <w:rFonts w:ascii="Times New Roman" w:hAnsi="Times New Roman" w:cs="Times New Roman"/>
          <w:sz w:val="24"/>
          <w:szCs w:val="24"/>
        </w:rPr>
      </w:pPr>
    </w:p>
    <w:p w:rsidR="00103AF3" w:rsidRDefault="00103AF3" w:rsidP="00103AF3">
      <w:pPr>
        <w:jc w:val="center"/>
        <w:rPr>
          <w:rFonts w:ascii="Times New Roman" w:hAnsi="Times New Roman" w:cs="Times New Roman"/>
          <w:sz w:val="24"/>
          <w:szCs w:val="24"/>
        </w:rPr>
      </w:pPr>
    </w:p>
    <w:p w:rsidR="00103AF3" w:rsidRDefault="00103AF3" w:rsidP="00103AF3">
      <w:pPr>
        <w:jc w:val="center"/>
        <w:rPr>
          <w:rFonts w:ascii="Times New Roman" w:hAnsi="Times New Roman" w:cs="Times New Roman"/>
          <w:sz w:val="24"/>
          <w:szCs w:val="24"/>
        </w:rPr>
      </w:pPr>
    </w:p>
    <w:p w:rsidR="00103AF3" w:rsidRDefault="00103AF3" w:rsidP="00103AF3">
      <w:pPr>
        <w:jc w:val="center"/>
        <w:rPr>
          <w:rFonts w:ascii="Times New Roman" w:hAnsi="Times New Roman" w:cs="Times New Roman"/>
          <w:sz w:val="24"/>
          <w:szCs w:val="24"/>
        </w:rPr>
      </w:pPr>
    </w:p>
    <w:p w:rsidR="00103AF3" w:rsidRDefault="00103AF3" w:rsidP="00103AF3">
      <w:pPr>
        <w:jc w:val="center"/>
        <w:rPr>
          <w:rFonts w:ascii="Times New Roman" w:hAnsi="Times New Roman" w:cs="Times New Roman"/>
          <w:sz w:val="24"/>
          <w:szCs w:val="24"/>
        </w:rPr>
      </w:pPr>
    </w:p>
    <w:p w:rsidR="00103AF3" w:rsidRDefault="00103AF3" w:rsidP="00103AF3">
      <w:pPr>
        <w:jc w:val="center"/>
        <w:rPr>
          <w:rFonts w:ascii="Times New Roman" w:hAnsi="Times New Roman" w:cs="Times New Roman"/>
          <w:sz w:val="24"/>
          <w:szCs w:val="24"/>
        </w:rPr>
      </w:pPr>
    </w:p>
    <w:p w:rsidR="00103AF3" w:rsidRDefault="00103AF3" w:rsidP="00103AF3">
      <w:pPr>
        <w:jc w:val="center"/>
        <w:rPr>
          <w:rFonts w:ascii="Times New Roman" w:hAnsi="Times New Roman" w:cs="Times New Roman"/>
          <w:sz w:val="24"/>
          <w:szCs w:val="24"/>
        </w:rPr>
      </w:pPr>
    </w:p>
    <w:p w:rsidR="00103AF3" w:rsidRDefault="00103AF3" w:rsidP="00103AF3">
      <w:pPr>
        <w:jc w:val="center"/>
        <w:rPr>
          <w:rFonts w:ascii="Times New Roman" w:hAnsi="Times New Roman" w:cs="Times New Roman"/>
          <w:sz w:val="24"/>
          <w:szCs w:val="24"/>
        </w:rPr>
      </w:pPr>
    </w:p>
    <w:p w:rsidR="00103AF3" w:rsidRDefault="00103AF3" w:rsidP="00103AF3">
      <w:pPr>
        <w:jc w:val="center"/>
        <w:rPr>
          <w:rFonts w:ascii="Times New Roman" w:hAnsi="Times New Roman" w:cs="Times New Roman"/>
          <w:sz w:val="24"/>
          <w:szCs w:val="24"/>
        </w:rPr>
      </w:pPr>
    </w:p>
    <w:p w:rsidR="00103AF3" w:rsidRDefault="00103AF3" w:rsidP="00103AF3">
      <w:pPr>
        <w:jc w:val="center"/>
        <w:rPr>
          <w:rFonts w:ascii="Times New Roman" w:hAnsi="Times New Roman" w:cs="Times New Roman"/>
          <w:sz w:val="24"/>
          <w:szCs w:val="24"/>
        </w:rPr>
      </w:pPr>
    </w:p>
    <w:p w:rsidR="00103AF3" w:rsidRDefault="00103AF3" w:rsidP="00103AF3">
      <w:pPr>
        <w:jc w:val="center"/>
        <w:rPr>
          <w:rFonts w:ascii="Times New Roman" w:hAnsi="Times New Roman" w:cs="Times New Roman"/>
          <w:sz w:val="24"/>
          <w:szCs w:val="24"/>
        </w:rPr>
      </w:pPr>
    </w:p>
    <w:p w:rsidR="00103AF3" w:rsidRDefault="005717C6" w:rsidP="00A27C90">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Osteoporosis</w:t>
      </w:r>
    </w:p>
    <w:p w:rsidR="009E75C7" w:rsidRDefault="00E1318E" w:rsidP="00A27C9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According to Mayo Clinic s</w:t>
      </w:r>
      <w:r w:rsidR="00103AF3">
        <w:rPr>
          <w:rFonts w:ascii="Times New Roman" w:hAnsi="Times New Roman" w:cs="Times New Roman"/>
          <w:sz w:val="24"/>
          <w:szCs w:val="24"/>
        </w:rPr>
        <w:t>taff (2011), three factors essential for keeping bones healthy (in turn, preventing osteoporosis) throughout life include: adequate amounts of calcium, adequate amounts of vitamin D, and regular exercise. First off, men and women between the ages of 18 and 50 need about 1,000 milligrams of calcium per day, which increases to 1,200 milligrams a day when women turn 50 and when men turn 70. Some good sources of calcium include: low-fat dairy products, dark green, leafy vegetables, canned salmon or sardines with bones, soy products, and calcium-fortified cereals and orange juice. Although, sometimes it is difficult to get enough calcium from diet alone, so many doctors recommend adding calcium supplements to a person’s medication regimen</w:t>
      </w:r>
      <w:r>
        <w:rPr>
          <w:rFonts w:ascii="Times New Roman" w:hAnsi="Times New Roman" w:cs="Times New Roman"/>
          <w:sz w:val="24"/>
          <w:szCs w:val="24"/>
        </w:rPr>
        <w:t xml:space="preserve"> (Mayo Clinic s</w:t>
      </w:r>
      <w:r w:rsidR="00103AF3">
        <w:rPr>
          <w:rFonts w:ascii="Times New Roman" w:hAnsi="Times New Roman" w:cs="Times New Roman"/>
          <w:sz w:val="24"/>
          <w:szCs w:val="24"/>
        </w:rPr>
        <w:t xml:space="preserve">taff, 2011). Secondly, vitamin D is necessary in order for our bodies to absorb calcium. Although many people get adequate amounts of vitamin D through sunlight, this may be difficult </w:t>
      </w:r>
      <w:r w:rsidR="009E75C7">
        <w:rPr>
          <w:rFonts w:ascii="Times New Roman" w:hAnsi="Times New Roman" w:cs="Times New Roman"/>
          <w:sz w:val="24"/>
          <w:szCs w:val="24"/>
        </w:rPr>
        <w:t>for those living in high latitudes, for those who are housebound, and those who avoid the sun because of the risk of skin cancer. It is undetermined just how much vitamin D we need in our diets, so a good starting point for adults is 600 to 800 international units (IU) a day. Teens and adults can actually, safely, consume up to 4,000 IU per day</w:t>
      </w:r>
      <w:r>
        <w:rPr>
          <w:rFonts w:ascii="Times New Roman" w:hAnsi="Times New Roman" w:cs="Times New Roman"/>
          <w:sz w:val="24"/>
          <w:szCs w:val="24"/>
        </w:rPr>
        <w:t xml:space="preserve"> (Mayo Clinic s</w:t>
      </w:r>
      <w:r w:rsidR="009E75C7">
        <w:rPr>
          <w:rFonts w:ascii="Times New Roman" w:hAnsi="Times New Roman" w:cs="Times New Roman"/>
          <w:sz w:val="24"/>
          <w:szCs w:val="24"/>
        </w:rPr>
        <w:t>taff, 2011). Finally, exercise is important, as it can help build strong bones and slow bone loss. It will benefit bones no matter where we start, but it is best to start exercising when we’re young and continue to exercise throughout life. It is important to combine strength training exercises with weight-bearing exercises. Strength training helps muscles and bones in the arms and upper spine, while weight-bearing exercises (walking, jogging, skipping rope, and stair climbing) mainly affect bones in the legs, hips, and lower s</w:t>
      </w:r>
      <w:r>
        <w:rPr>
          <w:rFonts w:ascii="Times New Roman" w:hAnsi="Times New Roman" w:cs="Times New Roman"/>
          <w:sz w:val="24"/>
          <w:szCs w:val="24"/>
        </w:rPr>
        <w:t>pine (Mayo Clinic s</w:t>
      </w:r>
      <w:r w:rsidR="009E75C7">
        <w:rPr>
          <w:rFonts w:ascii="Times New Roman" w:hAnsi="Times New Roman" w:cs="Times New Roman"/>
          <w:sz w:val="24"/>
          <w:szCs w:val="24"/>
        </w:rPr>
        <w:t>taff, 2011).</w:t>
      </w:r>
      <w:r w:rsidR="00C70327">
        <w:rPr>
          <w:rFonts w:ascii="Times New Roman" w:hAnsi="Times New Roman" w:cs="Times New Roman"/>
          <w:sz w:val="24"/>
          <w:szCs w:val="24"/>
        </w:rPr>
        <w:t xml:space="preserve"> Also, since </w:t>
      </w:r>
      <w:r w:rsidR="00C70327">
        <w:rPr>
          <w:rFonts w:ascii="Times New Roman" w:hAnsi="Times New Roman" w:cs="Times New Roman"/>
          <w:sz w:val="24"/>
          <w:szCs w:val="24"/>
        </w:rPr>
        <w:lastRenderedPageBreak/>
        <w:t>tobacco use and alcohol consumption contribute to weak bones and the body’s ability to absorb calcium</w:t>
      </w:r>
      <w:r>
        <w:rPr>
          <w:rFonts w:ascii="Times New Roman" w:hAnsi="Times New Roman" w:cs="Times New Roman"/>
          <w:sz w:val="24"/>
          <w:szCs w:val="24"/>
        </w:rPr>
        <w:t xml:space="preserve"> (Mayo Clinic s</w:t>
      </w:r>
      <w:r w:rsidR="00C70327">
        <w:rPr>
          <w:rFonts w:ascii="Times New Roman" w:hAnsi="Times New Roman" w:cs="Times New Roman"/>
          <w:sz w:val="24"/>
          <w:szCs w:val="24"/>
        </w:rPr>
        <w:t xml:space="preserve">taff, 2011), Violet was correct in stating that her non-use of tobacco and alcohol are great in the prevention of osteoporosis. Because Violet worked at a dairy farm and consumed all of the products, it could also be said that she has been getting an adequate amount of calcium, which is also very important in the prevention of osteoporosis.  </w:t>
      </w:r>
      <w:r w:rsidR="009E75C7">
        <w:rPr>
          <w:rFonts w:ascii="Times New Roman" w:hAnsi="Times New Roman" w:cs="Times New Roman"/>
          <w:sz w:val="24"/>
          <w:szCs w:val="24"/>
        </w:rPr>
        <w:t xml:space="preserve"> </w:t>
      </w:r>
    </w:p>
    <w:p w:rsidR="00C70327" w:rsidRDefault="009E75C7" w:rsidP="00A27C9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According to Mayo Clinic </w:t>
      </w:r>
      <w:r w:rsidR="00E1318E">
        <w:rPr>
          <w:rFonts w:ascii="Times New Roman" w:hAnsi="Times New Roman" w:cs="Times New Roman"/>
          <w:sz w:val="24"/>
          <w:szCs w:val="24"/>
        </w:rPr>
        <w:t>s</w:t>
      </w:r>
      <w:r>
        <w:rPr>
          <w:rFonts w:ascii="Times New Roman" w:hAnsi="Times New Roman" w:cs="Times New Roman"/>
          <w:sz w:val="24"/>
          <w:szCs w:val="24"/>
        </w:rPr>
        <w:t>taff (2011), a number of factors increase the likelihood that a person may develop osteoporosis, including age, race, lifestyle choices, as well as medical conditions and treatments. Some risk factors are out of our control, such as gender (women are more likely to develop osteoporosis than men), age (the older we get, the greater our risk of osteoporosis), race (those of white or Asian descent are at greatest risk), family history (having a parent or sibling with osteoporosis puts us at greater risk), and frame size (men and women who have small body frames tend to have a higher risk because they may have less bone mass to draw from as they age</w:t>
      </w:r>
      <w:r w:rsidR="00E1318E">
        <w:rPr>
          <w:rFonts w:ascii="Times New Roman" w:hAnsi="Times New Roman" w:cs="Times New Roman"/>
          <w:sz w:val="24"/>
          <w:szCs w:val="24"/>
        </w:rPr>
        <w:t>; Mayo Clinic s</w:t>
      </w:r>
      <w:r w:rsidR="00C70327">
        <w:rPr>
          <w:rFonts w:ascii="Times New Roman" w:hAnsi="Times New Roman" w:cs="Times New Roman"/>
          <w:sz w:val="24"/>
          <w:szCs w:val="24"/>
        </w:rPr>
        <w:t>taff, 2011</w:t>
      </w:r>
      <w:r>
        <w:rPr>
          <w:rFonts w:ascii="Times New Roman" w:hAnsi="Times New Roman" w:cs="Times New Roman"/>
          <w:sz w:val="24"/>
          <w:szCs w:val="24"/>
        </w:rPr>
        <w:t xml:space="preserve">). With this being said, </w:t>
      </w:r>
      <w:r w:rsidR="00C70327">
        <w:rPr>
          <w:rFonts w:ascii="Times New Roman" w:hAnsi="Times New Roman" w:cs="Times New Roman"/>
          <w:sz w:val="24"/>
          <w:szCs w:val="24"/>
        </w:rPr>
        <w:t>Violet is at greater risk because she is female. Also, I would assume that Violet is either of white or Asian descent because her daughter mentioned race as a factor in her development. Finally, I would also assume that Violet and Lillian both have small body frames that put them at a higher risk for developing osteoporosis (since they mentioned body frame in their discussion).</w:t>
      </w:r>
      <w:r w:rsidR="00C95D7C">
        <w:rPr>
          <w:rFonts w:ascii="Times New Roman" w:hAnsi="Times New Roman" w:cs="Times New Roman"/>
          <w:sz w:val="24"/>
          <w:szCs w:val="24"/>
        </w:rPr>
        <w:t xml:space="preserve"> </w:t>
      </w:r>
      <w:r w:rsidR="00C95D7C">
        <w:rPr>
          <w:rFonts w:ascii="Times New Roman" w:hAnsi="Times New Roman" w:cs="Times New Roman"/>
          <w:color w:val="FF0000"/>
          <w:sz w:val="24"/>
          <w:szCs w:val="24"/>
        </w:rPr>
        <w:t>Be careful in assuming.</w:t>
      </w:r>
    </w:p>
    <w:p w:rsidR="00C95D7C" w:rsidRDefault="00524555" w:rsidP="00A27C9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MeasureUpSydney</w:t>
      </w:r>
      <w:proofErr w:type="spellEnd"/>
      <w:r>
        <w:rPr>
          <w:rFonts w:ascii="Times New Roman" w:hAnsi="Times New Roman" w:cs="Times New Roman"/>
          <w:sz w:val="24"/>
          <w:szCs w:val="24"/>
        </w:rPr>
        <w:t xml:space="preserve"> (2011), DEXA</w:t>
      </w:r>
      <w:r w:rsidR="000867A2">
        <w:rPr>
          <w:rFonts w:ascii="Times New Roman" w:hAnsi="Times New Roman" w:cs="Times New Roman"/>
          <w:sz w:val="24"/>
          <w:szCs w:val="24"/>
        </w:rPr>
        <w:t>, which</w:t>
      </w:r>
      <w:r>
        <w:rPr>
          <w:rFonts w:ascii="Times New Roman" w:hAnsi="Times New Roman" w:cs="Times New Roman"/>
          <w:sz w:val="24"/>
          <w:szCs w:val="24"/>
        </w:rPr>
        <w:t xml:space="preserve"> stands for dual energy x-ray </w:t>
      </w:r>
      <w:proofErr w:type="spellStart"/>
      <w:r>
        <w:rPr>
          <w:rFonts w:ascii="Times New Roman" w:hAnsi="Times New Roman" w:cs="Times New Roman"/>
          <w:sz w:val="24"/>
          <w:szCs w:val="24"/>
        </w:rPr>
        <w:t>absorptiometry</w:t>
      </w:r>
      <w:proofErr w:type="spellEnd"/>
      <w:r w:rsidR="000867A2">
        <w:rPr>
          <w:rFonts w:ascii="Times New Roman" w:hAnsi="Times New Roman" w:cs="Times New Roman"/>
          <w:sz w:val="24"/>
          <w:szCs w:val="24"/>
        </w:rPr>
        <w:t>, is a really unique three-compartment model of body composition</w:t>
      </w:r>
      <w:r>
        <w:rPr>
          <w:rFonts w:ascii="Times New Roman" w:hAnsi="Times New Roman" w:cs="Times New Roman"/>
          <w:sz w:val="24"/>
          <w:szCs w:val="24"/>
        </w:rPr>
        <w:t xml:space="preserve">. It provides a very low-energy x-ray to measure three separate tissues: muscle, bone, and fat. It measures these tissues down to one-tenth of a gram. The DEXA scan allows us to look </w:t>
      </w:r>
      <w:r>
        <w:rPr>
          <w:rFonts w:ascii="Times New Roman" w:hAnsi="Times New Roman" w:cs="Times New Roman"/>
          <w:sz w:val="24"/>
          <w:szCs w:val="24"/>
        </w:rPr>
        <w:lastRenderedPageBreak/>
        <w:t xml:space="preserve">at the whole body, as well as regional changes in composition. It provides a useful tool to measure change over time, which is the most important thing physicians are after. This is because doctors want to see changes in fat and muscle mass, which is different than what can be determined by a scale. </w:t>
      </w:r>
      <w:r w:rsidR="000867A2">
        <w:rPr>
          <w:rFonts w:ascii="Times New Roman" w:hAnsi="Times New Roman" w:cs="Times New Roman"/>
          <w:sz w:val="24"/>
          <w:szCs w:val="24"/>
        </w:rPr>
        <w:t xml:space="preserve">According to </w:t>
      </w:r>
      <w:proofErr w:type="spellStart"/>
      <w:r w:rsidR="000867A2">
        <w:rPr>
          <w:rFonts w:ascii="Times New Roman" w:hAnsi="Times New Roman" w:cs="Times New Roman"/>
          <w:sz w:val="24"/>
          <w:szCs w:val="24"/>
        </w:rPr>
        <w:t>MeasureUpSydney</w:t>
      </w:r>
      <w:proofErr w:type="spellEnd"/>
      <w:r w:rsidR="000867A2">
        <w:rPr>
          <w:rFonts w:ascii="Times New Roman" w:hAnsi="Times New Roman" w:cs="Times New Roman"/>
          <w:sz w:val="24"/>
          <w:szCs w:val="24"/>
        </w:rPr>
        <w:t xml:space="preserve"> (2011), t</w:t>
      </w:r>
      <w:r>
        <w:rPr>
          <w:rFonts w:ascii="Times New Roman" w:hAnsi="Times New Roman" w:cs="Times New Roman"/>
          <w:sz w:val="24"/>
          <w:szCs w:val="24"/>
        </w:rPr>
        <w:t xml:space="preserve">he first page of the DEXA report explains a person’s bone density, which is very important for those who have a family history of osteoporosis. The second page, on the other hand, shows total fat mass, total lean tissue mass (muscle mass), lean mass plus bone-mineral content, and body fat percentage. </w:t>
      </w:r>
      <w:r w:rsidR="000867A2">
        <w:rPr>
          <w:rFonts w:ascii="Times New Roman" w:hAnsi="Times New Roman" w:cs="Times New Roman"/>
          <w:sz w:val="24"/>
          <w:szCs w:val="24"/>
        </w:rPr>
        <w:t xml:space="preserve">The second page of the DEXA report also reveals regional changes. This gives physicians a good opportunity to see just how good a person’s exercise program or dietary intervention was. It allows physician’s to pinpoint just how much fat content was lost from one particular arm or even the trunk (and also how much muscle tissue was gained; </w:t>
      </w:r>
      <w:proofErr w:type="spellStart"/>
      <w:r w:rsidR="000867A2">
        <w:rPr>
          <w:rFonts w:ascii="Times New Roman" w:hAnsi="Times New Roman" w:cs="Times New Roman"/>
          <w:sz w:val="24"/>
          <w:szCs w:val="24"/>
        </w:rPr>
        <w:t>MeasureUpSydney</w:t>
      </w:r>
      <w:proofErr w:type="spellEnd"/>
      <w:r w:rsidR="000867A2">
        <w:rPr>
          <w:rFonts w:ascii="Times New Roman" w:hAnsi="Times New Roman" w:cs="Times New Roman"/>
          <w:sz w:val="24"/>
          <w:szCs w:val="24"/>
        </w:rPr>
        <w:t xml:space="preserve">, 2011). </w:t>
      </w:r>
      <w:r w:rsidR="000867A2" w:rsidRPr="000867A2">
        <w:rPr>
          <w:rFonts w:ascii="Times New Roman" w:hAnsi="Times New Roman" w:cs="Times New Roman"/>
          <w:sz w:val="24"/>
          <w:szCs w:val="24"/>
        </w:rPr>
        <w:t xml:space="preserve">   </w:t>
      </w:r>
    </w:p>
    <w:p w:rsidR="00C70327" w:rsidRPr="00C95D7C" w:rsidRDefault="00C95D7C" w:rsidP="00C95D7C">
      <w:pPr>
        <w:autoSpaceDE w:val="0"/>
        <w:autoSpaceDN w:val="0"/>
        <w:adjustRightInd w:val="0"/>
        <w:spacing w:after="0" w:line="240" w:lineRule="auto"/>
        <w:rPr>
          <w:rFonts w:ascii="Times New Roman" w:hAnsi="Times New Roman" w:cs="Times New Roman"/>
          <w:color w:val="FF0000"/>
          <w:sz w:val="24"/>
          <w:szCs w:val="24"/>
        </w:rPr>
      </w:pPr>
      <w:r w:rsidRPr="00C95D7C">
        <w:rPr>
          <w:rFonts w:ascii="Times New Roman" w:hAnsi="Times New Roman" w:cs="Times New Roman"/>
          <w:color w:val="FF0000"/>
          <w:sz w:val="24"/>
          <w:szCs w:val="24"/>
        </w:rPr>
        <w:t xml:space="preserve">  </w:t>
      </w:r>
      <w:r w:rsidRPr="00C95D7C">
        <w:rPr>
          <w:rFonts w:ascii="ITCGaramondStd-Bk" w:hAnsi="ITCGaramondStd-Bk" w:cs="ITCGaramondStd-Bk"/>
          <w:color w:val="FF0000"/>
          <w:sz w:val="20"/>
          <w:szCs w:val="20"/>
        </w:rPr>
        <w:t xml:space="preserve">Scanning generally takes 10 to 20 minutes to complete and is painless. The patient needs to be able to lie still </w:t>
      </w:r>
      <w:proofErr w:type="gramStart"/>
      <w:r w:rsidRPr="00C95D7C">
        <w:rPr>
          <w:rFonts w:ascii="ITCGaramondStd-Bk" w:hAnsi="ITCGaramondStd-Bk" w:cs="ITCGaramondStd-Bk"/>
          <w:color w:val="FF0000"/>
          <w:sz w:val="20"/>
          <w:szCs w:val="20"/>
        </w:rPr>
        <w:t>on  the</w:t>
      </w:r>
      <w:proofErr w:type="gramEnd"/>
      <w:r w:rsidRPr="00C95D7C">
        <w:rPr>
          <w:rFonts w:ascii="ITCGaramondStd-Bk" w:hAnsi="ITCGaramondStd-Bk" w:cs="ITCGaramondStd-Bk"/>
          <w:color w:val="FF0000"/>
          <w:sz w:val="20"/>
          <w:szCs w:val="20"/>
        </w:rPr>
        <w:t xml:space="preserve"> table during the testing. There is no IV or other injection needed for this test. On the day of the test, you may eat a normal meal, but you should not take any calcium supplements for 24 hours prior to the test</w:t>
      </w:r>
      <w:r w:rsidR="00524555" w:rsidRPr="00C95D7C">
        <w:rPr>
          <w:rFonts w:ascii="Times New Roman" w:hAnsi="Times New Roman" w:cs="Times New Roman"/>
          <w:color w:val="FF0000"/>
          <w:sz w:val="24"/>
          <w:szCs w:val="24"/>
        </w:rPr>
        <w:t xml:space="preserve">   </w:t>
      </w:r>
    </w:p>
    <w:p w:rsidR="00C95D7C" w:rsidRPr="00C95D7C" w:rsidRDefault="00C95D7C" w:rsidP="00C95D7C">
      <w:pPr>
        <w:autoSpaceDE w:val="0"/>
        <w:autoSpaceDN w:val="0"/>
        <w:adjustRightInd w:val="0"/>
        <w:spacing w:after="0" w:line="240" w:lineRule="auto"/>
        <w:rPr>
          <w:rFonts w:ascii="Times New Roman" w:hAnsi="Times New Roman" w:cs="Times New Roman"/>
          <w:color w:val="FF0000"/>
          <w:sz w:val="24"/>
          <w:szCs w:val="24"/>
        </w:rPr>
      </w:pPr>
    </w:p>
    <w:p w:rsidR="00C70327" w:rsidRDefault="007B43E2" w:rsidP="00A27C9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Referring to hysterectomies, the most important complications occur in women who have had their ovaries removed. </w:t>
      </w:r>
      <w:r w:rsidR="00A27C90">
        <w:rPr>
          <w:rFonts w:ascii="Times New Roman" w:hAnsi="Times New Roman" w:cs="Times New Roman"/>
          <w:sz w:val="24"/>
          <w:szCs w:val="24"/>
        </w:rPr>
        <w:t xml:space="preserve">According to University of Maryland Medical Center (2009), removal of the ovaries causes estrogen loss, which places women at risk for osteoporosis (loss of bone density) and a possible increase in risks for heart disease and stroke. After hysterectomy, women may have hot flashes, a symptom of menopause, even if they have retained their ovaries. However, women who have a hysterectomy are less likely to have hot flashes than women who have a natural menopause. If both ovaries have been removed in premenopausal women, the procedure causes premature menopause. Other </w:t>
      </w:r>
      <w:r w:rsidR="00A27C90">
        <w:rPr>
          <w:rFonts w:ascii="Times New Roman" w:hAnsi="Times New Roman" w:cs="Times New Roman"/>
          <w:sz w:val="24"/>
          <w:szCs w:val="24"/>
        </w:rPr>
        <w:lastRenderedPageBreak/>
        <w:t xml:space="preserve">menopausal symptoms include vaginal dryness and irritation, insomnia, and weight gain (University of Maryland Medical Center, 2009).  </w:t>
      </w:r>
    </w:p>
    <w:p w:rsidR="00103AF3" w:rsidRDefault="000614F2" w:rsidP="00A27C9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sidR="00E1318E">
        <w:rPr>
          <w:rFonts w:ascii="Times New Roman" w:hAnsi="Times New Roman" w:cs="Times New Roman"/>
          <w:sz w:val="24"/>
          <w:szCs w:val="24"/>
        </w:rPr>
        <w:t>Comerford</w:t>
      </w:r>
      <w:proofErr w:type="spellEnd"/>
      <w:r>
        <w:rPr>
          <w:rFonts w:ascii="Times New Roman" w:hAnsi="Times New Roman" w:cs="Times New Roman"/>
          <w:sz w:val="24"/>
          <w:szCs w:val="24"/>
        </w:rPr>
        <w:t xml:space="preserve"> (2012), </w:t>
      </w:r>
      <w:proofErr w:type="spellStart"/>
      <w:r>
        <w:rPr>
          <w:rFonts w:ascii="Times New Roman" w:hAnsi="Times New Roman" w:cs="Times New Roman"/>
          <w:sz w:val="24"/>
          <w:szCs w:val="24"/>
        </w:rPr>
        <w:t>Oscal</w:t>
      </w:r>
      <w:proofErr w:type="spellEnd"/>
      <w:r>
        <w:rPr>
          <w:rFonts w:ascii="Times New Roman" w:hAnsi="Times New Roman" w:cs="Times New Roman"/>
          <w:sz w:val="24"/>
          <w:szCs w:val="24"/>
        </w:rPr>
        <w:t xml:space="preserve"> (calcium carbo</w:t>
      </w:r>
      <w:r w:rsidR="00A27C90">
        <w:rPr>
          <w:rFonts w:ascii="Times New Roman" w:hAnsi="Times New Roman" w:cs="Times New Roman"/>
          <w:sz w:val="24"/>
          <w:szCs w:val="24"/>
        </w:rPr>
        <w:t xml:space="preserve">nate) is a calcium salt that is </w:t>
      </w:r>
      <w:r>
        <w:rPr>
          <w:rFonts w:ascii="Times New Roman" w:hAnsi="Times New Roman" w:cs="Times New Roman"/>
          <w:sz w:val="24"/>
          <w:szCs w:val="24"/>
        </w:rPr>
        <w:t xml:space="preserve">considered to be an antacid (p. 240). It reduces total acid load in the GI tract, elevates gastric pH to reduce pepsin activity, strengthens gastric mucosal barrier, and increases esophageal sphincter tone. </w:t>
      </w:r>
      <w:proofErr w:type="spellStart"/>
      <w:r>
        <w:rPr>
          <w:rFonts w:ascii="Times New Roman" w:hAnsi="Times New Roman" w:cs="Times New Roman"/>
          <w:sz w:val="24"/>
          <w:szCs w:val="24"/>
        </w:rPr>
        <w:t>Oscal</w:t>
      </w:r>
      <w:proofErr w:type="spellEnd"/>
      <w:r>
        <w:rPr>
          <w:rFonts w:ascii="Times New Roman" w:hAnsi="Times New Roman" w:cs="Times New Roman"/>
          <w:sz w:val="24"/>
          <w:szCs w:val="24"/>
        </w:rPr>
        <w:t xml:space="preserve"> is administered by mouth (PO), and for adults 350 mg to 1.5 g or two pieces of chewing gum 1 hour after meals and at bedtime (as needed) is recommended </w:t>
      </w:r>
      <w:r w:rsidR="00E1318E">
        <w:rPr>
          <w:rFonts w:ascii="Times New Roman" w:hAnsi="Times New Roman" w:cs="Times New Roman"/>
          <w:sz w:val="24"/>
          <w:szCs w:val="24"/>
        </w:rPr>
        <w:t>(</w:t>
      </w:r>
      <w:proofErr w:type="spellStart"/>
      <w:r w:rsidR="00E1318E">
        <w:rPr>
          <w:rFonts w:ascii="Times New Roman" w:hAnsi="Times New Roman" w:cs="Times New Roman"/>
          <w:sz w:val="24"/>
          <w:szCs w:val="24"/>
        </w:rPr>
        <w:t>Comerford</w:t>
      </w:r>
      <w:proofErr w:type="spellEnd"/>
      <w:r>
        <w:rPr>
          <w:rFonts w:ascii="Times New Roman" w:hAnsi="Times New Roman" w:cs="Times New Roman"/>
          <w:sz w:val="24"/>
          <w:szCs w:val="24"/>
        </w:rPr>
        <w:t xml:space="preserve">, 2012, p. 240). </w:t>
      </w:r>
      <w:proofErr w:type="spellStart"/>
      <w:r>
        <w:rPr>
          <w:rFonts w:ascii="Times New Roman" w:hAnsi="Times New Roman" w:cs="Times New Roman"/>
          <w:sz w:val="24"/>
          <w:szCs w:val="24"/>
        </w:rPr>
        <w:t>Reclast</w:t>
      </w:r>
      <w:proofErr w:type="spellEnd"/>
      <w:r>
        <w:rPr>
          <w:rFonts w:ascii="Times New Roman" w:hAnsi="Times New Roman" w:cs="Times New Roman"/>
          <w:sz w:val="24"/>
          <w:szCs w:val="24"/>
        </w:rPr>
        <w:t xml:space="preserve"> is a </w:t>
      </w:r>
      <w:proofErr w:type="spellStart"/>
      <w:r>
        <w:rPr>
          <w:rFonts w:ascii="Times New Roman" w:hAnsi="Times New Roman" w:cs="Times New Roman"/>
          <w:sz w:val="24"/>
          <w:szCs w:val="24"/>
        </w:rPr>
        <w:t>biphos</w:t>
      </w:r>
      <w:r w:rsidR="006E1E9D">
        <w:rPr>
          <w:rFonts w:ascii="Times New Roman" w:hAnsi="Times New Roman" w:cs="Times New Roman"/>
          <w:sz w:val="24"/>
          <w:szCs w:val="24"/>
        </w:rPr>
        <w:t>phonate</w:t>
      </w:r>
      <w:proofErr w:type="spellEnd"/>
      <w:r w:rsidR="006E1E9D">
        <w:rPr>
          <w:rFonts w:ascii="Times New Roman" w:hAnsi="Times New Roman" w:cs="Times New Roman"/>
          <w:sz w:val="24"/>
          <w:szCs w:val="24"/>
        </w:rPr>
        <w:t xml:space="preserve"> that acts as an </w:t>
      </w:r>
      <w:proofErr w:type="spellStart"/>
      <w:r w:rsidR="006E1E9D">
        <w:rPr>
          <w:rFonts w:ascii="Times New Roman" w:hAnsi="Times New Roman" w:cs="Times New Roman"/>
          <w:sz w:val="24"/>
          <w:szCs w:val="24"/>
        </w:rPr>
        <w:t>antiosteoporotic</w:t>
      </w:r>
      <w:proofErr w:type="spellEnd"/>
      <w:r w:rsidR="006E1E9D">
        <w:rPr>
          <w:rFonts w:ascii="Times New Roman" w:hAnsi="Times New Roman" w:cs="Times New Roman"/>
          <w:sz w:val="24"/>
          <w:szCs w:val="24"/>
        </w:rPr>
        <w:t xml:space="preserve">. According to </w:t>
      </w:r>
      <w:proofErr w:type="spellStart"/>
      <w:r w:rsidR="00E1318E">
        <w:rPr>
          <w:rFonts w:ascii="Times New Roman" w:hAnsi="Times New Roman" w:cs="Times New Roman"/>
          <w:sz w:val="24"/>
          <w:szCs w:val="24"/>
        </w:rPr>
        <w:t>Comerford</w:t>
      </w:r>
      <w:proofErr w:type="spellEnd"/>
      <w:r w:rsidR="006E1E9D">
        <w:rPr>
          <w:rFonts w:ascii="Times New Roman" w:hAnsi="Times New Roman" w:cs="Times New Roman"/>
          <w:sz w:val="24"/>
          <w:szCs w:val="24"/>
        </w:rPr>
        <w:t xml:space="preserve"> (2012), </w:t>
      </w:r>
      <w:proofErr w:type="spellStart"/>
      <w:r w:rsidR="006E1E9D">
        <w:rPr>
          <w:rFonts w:ascii="Times New Roman" w:hAnsi="Times New Roman" w:cs="Times New Roman"/>
          <w:sz w:val="24"/>
          <w:szCs w:val="24"/>
        </w:rPr>
        <w:t>Reclast</w:t>
      </w:r>
      <w:proofErr w:type="spellEnd"/>
      <w:r w:rsidR="00766922">
        <w:rPr>
          <w:rFonts w:ascii="Times New Roman" w:hAnsi="Times New Roman" w:cs="Times New Roman"/>
          <w:sz w:val="24"/>
          <w:szCs w:val="24"/>
        </w:rPr>
        <w:t xml:space="preserve"> (</w:t>
      </w:r>
      <w:proofErr w:type="spellStart"/>
      <w:r w:rsidR="00766922">
        <w:rPr>
          <w:rFonts w:ascii="Times New Roman" w:hAnsi="Times New Roman" w:cs="Times New Roman"/>
          <w:sz w:val="24"/>
          <w:szCs w:val="24"/>
        </w:rPr>
        <w:t>zoledronic</w:t>
      </w:r>
      <w:proofErr w:type="spellEnd"/>
      <w:r w:rsidR="00766922">
        <w:rPr>
          <w:rFonts w:ascii="Times New Roman" w:hAnsi="Times New Roman" w:cs="Times New Roman"/>
          <w:sz w:val="24"/>
          <w:szCs w:val="24"/>
        </w:rPr>
        <w:t xml:space="preserve"> acid)</w:t>
      </w:r>
      <w:r w:rsidR="006E1E9D">
        <w:rPr>
          <w:rFonts w:ascii="Times New Roman" w:hAnsi="Times New Roman" w:cs="Times New Roman"/>
          <w:sz w:val="24"/>
          <w:szCs w:val="24"/>
        </w:rPr>
        <w:t xml:space="preserve"> inhibits bone </w:t>
      </w:r>
      <w:proofErr w:type="spellStart"/>
      <w:r w:rsidR="006E1E9D">
        <w:rPr>
          <w:rFonts w:ascii="Times New Roman" w:hAnsi="Times New Roman" w:cs="Times New Roman"/>
          <w:sz w:val="24"/>
          <w:szCs w:val="24"/>
        </w:rPr>
        <w:t>resorption</w:t>
      </w:r>
      <w:proofErr w:type="spellEnd"/>
      <w:r w:rsidR="006E1E9D">
        <w:rPr>
          <w:rFonts w:ascii="Times New Roman" w:hAnsi="Times New Roman" w:cs="Times New Roman"/>
          <w:sz w:val="24"/>
          <w:szCs w:val="24"/>
        </w:rPr>
        <w:t xml:space="preserve">, probably by inhibiting </w:t>
      </w:r>
      <w:proofErr w:type="spellStart"/>
      <w:r w:rsidR="006E1E9D">
        <w:rPr>
          <w:rFonts w:ascii="Times New Roman" w:hAnsi="Times New Roman" w:cs="Times New Roman"/>
          <w:sz w:val="24"/>
          <w:szCs w:val="24"/>
        </w:rPr>
        <w:t>osteoclast</w:t>
      </w:r>
      <w:proofErr w:type="spellEnd"/>
      <w:r w:rsidR="006E1E9D">
        <w:rPr>
          <w:rFonts w:ascii="Times New Roman" w:hAnsi="Times New Roman" w:cs="Times New Roman"/>
          <w:sz w:val="24"/>
          <w:szCs w:val="24"/>
        </w:rPr>
        <w:t xml:space="preserve"> activity and </w:t>
      </w:r>
      <w:proofErr w:type="spellStart"/>
      <w:r w:rsidR="006E1E9D">
        <w:rPr>
          <w:rFonts w:ascii="Times New Roman" w:hAnsi="Times New Roman" w:cs="Times New Roman"/>
          <w:sz w:val="24"/>
          <w:szCs w:val="24"/>
        </w:rPr>
        <w:t>osteoclastic</w:t>
      </w:r>
      <w:proofErr w:type="spellEnd"/>
      <w:r w:rsidR="006E1E9D">
        <w:rPr>
          <w:rFonts w:ascii="Times New Roman" w:hAnsi="Times New Roman" w:cs="Times New Roman"/>
          <w:sz w:val="24"/>
          <w:szCs w:val="24"/>
        </w:rPr>
        <w:t xml:space="preserve"> </w:t>
      </w:r>
      <w:proofErr w:type="spellStart"/>
      <w:r w:rsidR="006E1E9D">
        <w:rPr>
          <w:rFonts w:ascii="Times New Roman" w:hAnsi="Times New Roman" w:cs="Times New Roman"/>
          <w:sz w:val="24"/>
          <w:szCs w:val="24"/>
        </w:rPr>
        <w:t>resorption</w:t>
      </w:r>
      <w:proofErr w:type="spellEnd"/>
      <w:r w:rsidR="006E1E9D">
        <w:rPr>
          <w:rFonts w:ascii="Times New Roman" w:hAnsi="Times New Roman" w:cs="Times New Roman"/>
          <w:sz w:val="24"/>
          <w:szCs w:val="24"/>
        </w:rPr>
        <w:t xml:space="preserve"> of mineralized bone and cartilage (p. 1415-1416). This drug also decreases calcium release induced by the stimulatory factors produced by tumors. </w:t>
      </w:r>
      <w:proofErr w:type="spellStart"/>
      <w:r w:rsidR="006E1E9D">
        <w:rPr>
          <w:rFonts w:ascii="Times New Roman" w:hAnsi="Times New Roman" w:cs="Times New Roman"/>
          <w:sz w:val="24"/>
          <w:szCs w:val="24"/>
        </w:rPr>
        <w:t>Reclast</w:t>
      </w:r>
      <w:proofErr w:type="spellEnd"/>
      <w:r w:rsidR="006E1E9D">
        <w:rPr>
          <w:rFonts w:ascii="Times New Roman" w:hAnsi="Times New Roman" w:cs="Times New Roman"/>
          <w:sz w:val="24"/>
          <w:szCs w:val="24"/>
        </w:rPr>
        <w:t xml:space="preserve"> is available as an injection as ready to infuse solution. Adults are told to take 5 mg of </w:t>
      </w:r>
      <w:proofErr w:type="spellStart"/>
      <w:r w:rsidR="006E1E9D">
        <w:rPr>
          <w:rFonts w:ascii="Times New Roman" w:hAnsi="Times New Roman" w:cs="Times New Roman"/>
          <w:sz w:val="24"/>
          <w:szCs w:val="24"/>
        </w:rPr>
        <w:t>Reclast</w:t>
      </w:r>
      <w:proofErr w:type="spellEnd"/>
      <w:r w:rsidR="006E1E9D">
        <w:rPr>
          <w:rFonts w:ascii="Times New Roman" w:hAnsi="Times New Roman" w:cs="Times New Roman"/>
          <w:sz w:val="24"/>
          <w:szCs w:val="24"/>
        </w:rPr>
        <w:t xml:space="preserve"> by I.V. infusion over no less than 15 minutes once a year</w:t>
      </w:r>
      <w:r w:rsidR="00E1318E">
        <w:rPr>
          <w:rFonts w:ascii="Times New Roman" w:hAnsi="Times New Roman" w:cs="Times New Roman"/>
          <w:sz w:val="24"/>
          <w:szCs w:val="24"/>
        </w:rPr>
        <w:t xml:space="preserve"> (</w:t>
      </w:r>
      <w:proofErr w:type="spellStart"/>
      <w:r w:rsidR="00E1318E">
        <w:rPr>
          <w:rFonts w:ascii="Times New Roman" w:hAnsi="Times New Roman" w:cs="Times New Roman"/>
          <w:sz w:val="24"/>
          <w:szCs w:val="24"/>
        </w:rPr>
        <w:t>Comerford</w:t>
      </w:r>
      <w:proofErr w:type="spellEnd"/>
      <w:r w:rsidR="006E1E9D">
        <w:rPr>
          <w:rFonts w:ascii="Times New Roman" w:hAnsi="Times New Roman" w:cs="Times New Roman"/>
          <w:sz w:val="24"/>
          <w:szCs w:val="24"/>
        </w:rPr>
        <w:t xml:space="preserve">, 2012, p. 1415). Finally, </w:t>
      </w:r>
      <w:proofErr w:type="spellStart"/>
      <w:r w:rsidR="006E1E9D">
        <w:rPr>
          <w:rFonts w:ascii="Times New Roman" w:hAnsi="Times New Roman" w:cs="Times New Roman"/>
          <w:sz w:val="24"/>
          <w:szCs w:val="24"/>
        </w:rPr>
        <w:t>Evista</w:t>
      </w:r>
      <w:proofErr w:type="spellEnd"/>
      <w:r w:rsidR="006E1E9D">
        <w:rPr>
          <w:rFonts w:ascii="Times New Roman" w:hAnsi="Times New Roman" w:cs="Times New Roman"/>
          <w:sz w:val="24"/>
          <w:szCs w:val="24"/>
        </w:rPr>
        <w:t xml:space="preserve"> (</w:t>
      </w:r>
      <w:proofErr w:type="spellStart"/>
      <w:r w:rsidR="006E1E9D">
        <w:rPr>
          <w:rFonts w:ascii="Times New Roman" w:hAnsi="Times New Roman" w:cs="Times New Roman"/>
          <w:sz w:val="24"/>
          <w:szCs w:val="24"/>
        </w:rPr>
        <w:t>raloxifene</w:t>
      </w:r>
      <w:proofErr w:type="spellEnd"/>
      <w:r w:rsidR="006E1E9D">
        <w:rPr>
          <w:rFonts w:ascii="Times New Roman" w:hAnsi="Times New Roman" w:cs="Times New Roman"/>
          <w:sz w:val="24"/>
          <w:szCs w:val="24"/>
        </w:rPr>
        <w:t xml:space="preserve"> hydrochloride) is a selective estrogen receptor modulator that also acts as an </w:t>
      </w:r>
      <w:proofErr w:type="spellStart"/>
      <w:r w:rsidR="006E1E9D">
        <w:rPr>
          <w:rFonts w:ascii="Times New Roman" w:hAnsi="Times New Roman" w:cs="Times New Roman"/>
          <w:sz w:val="24"/>
          <w:szCs w:val="24"/>
        </w:rPr>
        <w:t>antiosteoporotic</w:t>
      </w:r>
      <w:proofErr w:type="spellEnd"/>
      <w:r w:rsidR="006E1E9D">
        <w:rPr>
          <w:rFonts w:ascii="Times New Roman" w:hAnsi="Times New Roman" w:cs="Times New Roman"/>
          <w:sz w:val="24"/>
          <w:szCs w:val="24"/>
        </w:rPr>
        <w:t xml:space="preserve">. </w:t>
      </w:r>
      <w:proofErr w:type="spellStart"/>
      <w:r w:rsidR="006E1E9D">
        <w:rPr>
          <w:rFonts w:ascii="Times New Roman" w:hAnsi="Times New Roman" w:cs="Times New Roman"/>
          <w:sz w:val="24"/>
          <w:szCs w:val="24"/>
        </w:rPr>
        <w:t>Evista</w:t>
      </w:r>
      <w:proofErr w:type="spellEnd"/>
      <w:r w:rsidR="006E1E9D">
        <w:rPr>
          <w:rFonts w:ascii="Times New Roman" w:hAnsi="Times New Roman" w:cs="Times New Roman"/>
          <w:sz w:val="24"/>
          <w:szCs w:val="24"/>
        </w:rPr>
        <w:t xml:space="preserve"> reduces </w:t>
      </w:r>
      <w:proofErr w:type="spellStart"/>
      <w:r w:rsidR="006E1E9D">
        <w:rPr>
          <w:rFonts w:ascii="Times New Roman" w:hAnsi="Times New Roman" w:cs="Times New Roman"/>
          <w:sz w:val="24"/>
          <w:szCs w:val="24"/>
        </w:rPr>
        <w:t>resorption</w:t>
      </w:r>
      <w:proofErr w:type="spellEnd"/>
      <w:r w:rsidR="006E1E9D">
        <w:rPr>
          <w:rFonts w:ascii="Times New Roman" w:hAnsi="Times New Roman" w:cs="Times New Roman"/>
          <w:sz w:val="24"/>
          <w:szCs w:val="24"/>
        </w:rPr>
        <w:t xml:space="preserve"> of bone and decreases overall bone turnover. According to </w:t>
      </w:r>
      <w:proofErr w:type="spellStart"/>
      <w:r w:rsidR="00E1318E">
        <w:rPr>
          <w:rFonts w:ascii="Times New Roman" w:hAnsi="Times New Roman" w:cs="Times New Roman"/>
          <w:sz w:val="24"/>
          <w:szCs w:val="24"/>
        </w:rPr>
        <w:t>Comerford</w:t>
      </w:r>
      <w:proofErr w:type="spellEnd"/>
      <w:r w:rsidR="006E1E9D">
        <w:rPr>
          <w:rFonts w:ascii="Times New Roman" w:hAnsi="Times New Roman" w:cs="Times New Roman"/>
          <w:sz w:val="24"/>
          <w:szCs w:val="24"/>
        </w:rPr>
        <w:t xml:space="preserve"> (2012), theses effects on bone are manifested as reductions in serum and urine levels of bone turnover markers and increases in bone mineral density</w:t>
      </w:r>
      <w:r w:rsidR="00766922">
        <w:rPr>
          <w:rFonts w:ascii="Times New Roman" w:hAnsi="Times New Roman" w:cs="Times New Roman"/>
          <w:sz w:val="24"/>
          <w:szCs w:val="24"/>
        </w:rPr>
        <w:t xml:space="preserve"> (p. 1163). </w:t>
      </w:r>
      <w:proofErr w:type="spellStart"/>
      <w:r w:rsidR="006E1E9D">
        <w:rPr>
          <w:rFonts w:ascii="Times New Roman" w:hAnsi="Times New Roman" w:cs="Times New Roman"/>
          <w:sz w:val="24"/>
          <w:szCs w:val="24"/>
        </w:rPr>
        <w:t>Evista</w:t>
      </w:r>
      <w:proofErr w:type="spellEnd"/>
      <w:r w:rsidR="00766922">
        <w:rPr>
          <w:rFonts w:ascii="Times New Roman" w:hAnsi="Times New Roman" w:cs="Times New Roman"/>
          <w:sz w:val="24"/>
          <w:szCs w:val="24"/>
        </w:rPr>
        <w:t xml:space="preserve"> is available as a 60 mg tablet and is to be taken by postmenopausal women once daily by mouth (PO). </w:t>
      </w:r>
      <w:r w:rsidR="006E1E9D">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C70327" w:rsidRDefault="00C70327" w:rsidP="00A27C9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B: “Taking this med right before bedtime is recommended.” This statement indicates a need for further teaching, as it is recommended that </w:t>
      </w:r>
      <w:proofErr w:type="spellStart"/>
      <w:r>
        <w:rPr>
          <w:rFonts w:ascii="Times New Roman" w:hAnsi="Times New Roman" w:cs="Times New Roman"/>
          <w:sz w:val="24"/>
          <w:szCs w:val="24"/>
        </w:rPr>
        <w:t>Fosamax</w:t>
      </w:r>
      <w:proofErr w:type="spellEnd"/>
      <w:r>
        <w:rPr>
          <w:rFonts w:ascii="Times New Roman" w:hAnsi="Times New Roman" w:cs="Times New Roman"/>
          <w:sz w:val="24"/>
          <w:szCs w:val="24"/>
        </w:rPr>
        <w:t xml:space="preserve"> tablets be taken first thing in the morning, at least 30 minutes before eating or drinking anything (or taking any other </w:t>
      </w:r>
      <w:r>
        <w:rPr>
          <w:rFonts w:ascii="Times New Roman" w:hAnsi="Times New Roman" w:cs="Times New Roman"/>
          <w:sz w:val="24"/>
          <w:szCs w:val="24"/>
        </w:rPr>
        <w:lastRenderedPageBreak/>
        <w:t xml:space="preserve">medication; Drugs.com, 2011). The other three statements are correct in the prevention of osteoporosis. Although patients taking </w:t>
      </w:r>
      <w:proofErr w:type="spellStart"/>
      <w:r>
        <w:rPr>
          <w:rFonts w:ascii="Times New Roman" w:hAnsi="Times New Roman" w:cs="Times New Roman"/>
          <w:sz w:val="24"/>
          <w:szCs w:val="24"/>
        </w:rPr>
        <w:t>Fosamax</w:t>
      </w:r>
      <w:proofErr w:type="spellEnd"/>
      <w:r>
        <w:rPr>
          <w:rFonts w:ascii="Times New Roman" w:hAnsi="Times New Roman" w:cs="Times New Roman"/>
          <w:sz w:val="24"/>
          <w:szCs w:val="24"/>
        </w:rPr>
        <w:t xml:space="preserve"> are working towards </w:t>
      </w:r>
      <w:r w:rsidR="00FD53E7">
        <w:rPr>
          <w:rFonts w:ascii="Times New Roman" w:hAnsi="Times New Roman" w:cs="Times New Roman"/>
          <w:sz w:val="24"/>
          <w:szCs w:val="24"/>
        </w:rPr>
        <w:t xml:space="preserve">prevention of osteoporosis, it is still important to consume adequate amounts of calcium (although it is recommended that </w:t>
      </w:r>
      <w:proofErr w:type="spellStart"/>
      <w:r w:rsidR="00FD53E7">
        <w:rPr>
          <w:rFonts w:ascii="Times New Roman" w:hAnsi="Times New Roman" w:cs="Times New Roman"/>
          <w:sz w:val="24"/>
          <w:szCs w:val="24"/>
        </w:rPr>
        <w:t>Fosamax</w:t>
      </w:r>
      <w:proofErr w:type="spellEnd"/>
      <w:r w:rsidR="00FD53E7">
        <w:rPr>
          <w:rFonts w:ascii="Times New Roman" w:hAnsi="Times New Roman" w:cs="Times New Roman"/>
          <w:sz w:val="24"/>
          <w:szCs w:val="24"/>
        </w:rPr>
        <w:t xml:space="preserve"> be taken with a full glass of water; Drugs.com, 2011). According to Drugs.com (2011), </w:t>
      </w:r>
      <w:proofErr w:type="spellStart"/>
      <w:r w:rsidR="00FD53E7">
        <w:rPr>
          <w:rFonts w:ascii="Times New Roman" w:hAnsi="Times New Roman" w:cs="Times New Roman"/>
          <w:sz w:val="24"/>
          <w:szCs w:val="24"/>
        </w:rPr>
        <w:t>Fosamax</w:t>
      </w:r>
      <w:proofErr w:type="spellEnd"/>
      <w:r w:rsidR="00FD53E7">
        <w:rPr>
          <w:rFonts w:ascii="Times New Roman" w:hAnsi="Times New Roman" w:cs="Times New Roman"/>
          <w:sz w:val="24"/>
          <w:szCs w:val="24"/>
        </w:rPr>
        <w:t xml:space="preserve"> tablets are taken either once each day or once each week. Finally, as mentioned previously, it is important to take </w:t>
      </w:r>
      <w:proofErr w:type="spellStart"/>
      <w:r w:rsidR="00FD53E7">
        <w:rPr>
          <w:rFonts w:ascii="Times New Roman" w:hAnsi="Times New Roman" w:cs="Times New Roman"/>
          <w:sz w:val="24"/>
          <w:szCs w:val="24"/>
        </w:rPr>
        <w:t>Fosamax</w:t>
      </w:r>
      <w:proofErr w:type="spellEnd"/>
      <w:r w:rsidR="00FD53E7">
        <w:rPr>
          <w:rFonts w:ascii="Times New Roman" w:hAnsi="Times New Roman" w:cs="Times New Roman"/>
          <w:sz w:val="24"/>
          <w:szCs w:val="24"/>
        </w:rPr>
        <w:t xml:space="preserve"> on an empty stomach, preferably first thing in the morning (Drugs.com, 2011).</w:t>
      </w:r>
    </w:p>
    <w:p w:rsidR="00C70327" w:rsidRDefault="0042100C" w:rsidP="00A27C9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Although we may not realize it, our living rooms, hallways, bathrooms, and/or stairways may be filled with hazards. According to Mayo Clinic staff (2010), there are several ways to make our homes safer (which are especially important for those at risk</w:t>
      </w:r>
      <w:r w:rsidR="007B43E2">
        <w:rPr>
          <w:rFonts w:ascii="Times New Roman" w:hAnsi="Times New Roman" w:cs="Times New Roman"/>
          <w:sz w:val="24"/>
          <w:szCs w:val="24"/>
        </w:rPr>
        <w:t xml:space="preserve"> for fall or injury). Such suggestions</w:t>
      </w:r>
      <w:r>
        <w:rPr>
          <w:rFonts w:ascii="Times New Roman" w:hAnsi="Times New Roman" w:cs="Times New Roman"/>
          <w:sz w:val="24"/>
          <w:szCs w:val="24"/>
        </w:rPr>
        <w:t xml:space="preserve"> include: removing boxes, n</w:t>
      </w:r>
      <w:r w:rsidR="007B43E2">
        <w:rPr>
          <w:rFonts w:ascii="Times New Roman" w:hAnsi="Times New Roman" w:cs="Times New Roman"/>
          <w:sz w:val="24"/>
          <w:szCs w:val="24"/>
        </w:rPr>
        <w:t xml:space="preserve">ewspapers, electrical cords, and phone cords from walkways; moving coffee table, magazine racks, and plant stands from high-traffic areas; securing loose rugs with double-faced tape, tacks, or a slip-resistant backing (or remove them all together); repairing loose, wooden floorboards and carpeting right away; storing clothing, dishes, food, and other necessities within easy reach; immediately cleaning spilled liquid, grease, or food; using nonskid floor wax; and using nonslip mats in the bathtub or shower (Mayo Clinic staff, 2010). It may also be helpful to wear sensible shoes, light up living spaces, and use assistive devices.   </w:t>
      </w:r>
    </w:p>
    <w:p w:rsidR="00A27C90" w:rsidRDefault="005717C6" w:rsidP="00A27C9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According to the American Academy of </w:t>
      </w:r>
      <w:proofErr w:type="spellStart"/>
      <w:r>
        <w:rPr>
          <w:rFonts w:ascii="Times New Roman" w:hAnsi="Times New Roman" w:cs="Times New Roman"/>
          <w:sz w:val="24"/>
          <w:szCs w:val="24"/>
        </w:rPr>
        <w:t>Orthopaedic</w:t>
      </w:r>
      <w:proofErr w:type="spellEnd"/>
      <w:r>
        <w:rPr>
          <w:rFonts w:ascii="Times New Roman" w:hAnsi="Times New Roman" w:cs="Times New Roman"/>
          <w:sz w:val="24"/>
          <w:szCs w:val="24"/>
        </w:rPr>
        <w:t xml:space="preserve"> Surgeons (2009), osteoporosis is a widespread metabolic bone disease characterized by decreased bone mass and poor bone quality. It leads to an increased frequency of fractures of the hip, spine, and wrist. Osteoporosis is a global public health problem because it currently affects more than 200 million people worldwide. In the U.S. alone, 10 million people have osteoporosis, and 18 </w:t>
      </w:r>
      <w:r>
        <w:rPr>
          <w:rFonts w:ascii="Times New Roman" w:hAnsi="Times New Roman" w:cs="Times New Roman"/>
          <w:sz w:val="24"/>
          <w:szCs w:val="24"/>
        </w:rPr>
        <w:lastRenderedPageBreak/>
        <w:t xml:space="preserve">million more people are at risk for developing the disease. According to the American Academy of </w:t>
      </w:r>
      <w:proofErr w:type="spellStart"/>
      <w:r>
        <w:rPr>
          <w:rFonts w:ascii="Times New Roman" w:hAnsi="Times New Roman" w:cs="Times New Roman"/>
          <w:sz w:val="24"/>
          <w:szCs w:val="24"/>
        </w:rPr>
        <w:t>Orthopaedic</w:t>
      </w:r>
      <w:proofErr w:type="spellEnd"/>
      <w:r>
        <w:rPr>
          <w:rFonts w:ascii="Times New Roman" w:hAnsi="Times New Roman" w:cs="Times New Roman"/>
          <w:sz w:val="24"/>
          <w:szCs w:val="24"/>
        </w:rPr>
        <w:t xml:space="preserve"> Surgeons (2009), World Health Organization (WHO) data from 2006 predicts the average life expectancy of men to be 75 and that of women to be 80 years of age. With this dramatic growth of the elderly population and the rise in the incidence of fractures at earlier ages, osteoporosis has become a major public health problem of epidemic proportions (American Academy of </w:t>
      </w:r>
      <w:proofErr w:type="spellStart"/>
      <w:r>
        <w:rPr>
          <w:rFonts w:ascii="Times New Roman" w:hAnsi="Times New Roman" w:cs="Times New Roman"/>
          <w:sz w:val="24"/>
          <w:szCs w:val="24"/>
        </w:rPr>
        <w:t>Orthopaedic</w:t>
      </w:r>
      <w:proofErr w:type="spellEnd"/>
      <w:r>
        <w:rPr>
          <w:rFonts w:ascii="Times New Roman" w:hAnsi="Times New Roman" w:cs="Times New Roman"/>
          <w:sz w:val="24"/>
          <w:szCs w:val="24"/>
        </w:rPr>
        <w:t xml:space="preserve"> Surgeons, 2009).</w:t>
      </w:r>
    </w:p>
    <w:p w:rsidR="00A27C90" w:rsidRDefault="00A27C90" w:rsidP="00A27C90">
      <w:pPr>
        <w:spacing w:line="480" w:lineRule="auto"/>
        <w:rPr>
          <w:rFonts w:ascii="Times New Roman" w:hAnsi="Times New Roman" w:cs="Times New Roman"/>
          <w:sz w:val="24"/>
          <w:szCs w:val="24"/>
        </w:rPr>
      </w:pPr>
    </w:p>
    <w:p w:rsidR="00A27C90" w:rsidRDefault="00A27C90" w:rsidP="00A27C90">
      <w:pPr>
        <w:spacing w:line="480" w:lineRule="auto"/>
        <w:rPr>
          <w:rFonts w:ascii="Times New Roman" w:hAnsi="Times New Roman" w:cs="Times New Roman"/>
          <w:sz w:val="24"/>
          <w:szCs w:val="24"/>
        </w:rPr>
      </w:pPr>
    </w:p>
    <w:p w:rsidR="00A27C90" w:rsidRDefault="00A27C90" w:rsidP="00A27C90">
      <w:pPr>
        <w:spacing w:line="480" w:lineRule="auto"/>
        <w:rPr>
          <w:rFonts w:ascii="Times New Roman" w:hAnsi="Times New Roman" w:cs="Times New Roman"/>
          <w:sz w:val="24"/>
          <w:szCs w:val="24"/>
        </w:rPr>
      </w:pPr>
    </w:p>
    <w:p w:rsidR="00A27C90" w:rsidRDefault="00A27C90" w:rsidP="00A27C90">
      <w:pPr>
        <w:spacing w:line="480" w:lineRule="auto"/>
        <w:rPr>
          <w:rFonts w:ascii="Times New Roman" w:hAnsi="Times New Roman" w:cs="Times New Roman"/>
          <w:sz w:val="24"/>
          <w:szCs w:val="24"/>
        </w:rPr>
      </w:pPr>
    </w:p>
    <w:p w:rsidR="00A27C90" w:rsidRDefault="00A27C90" w:rsidP="00A27C90">
      <w:pPr>
        <w:spacing w:line="480" w:lineRule="auto"/>
        <w:rPr>
          <w:rFonts w:ascii="Times New Roman" w:hAnsi="Times New Roman" w:cs="Times New Roman"/>
          <w:sz w:val="24"/>
          <w:szCs w:val="24"/>
        </w:rPr>
      </w:pPr>
    </w:p>
    <w:p w:rsidR="00A27C90" w:rsidRDefault="00A27C90" w:rsidP="00A27C90">
      <w:pPr>
        <w:spacing w:line="480" w:lineRule="auto"/>
        <w:rPr>
          <w:rFonts w:ascii="Times New Roman" w:hAnsi="Times New Roman" w:cs="Times New Roman"/>
          <w:sz w:val="24"/>
          <w:szCs w:val="24"/>
        </w:rPr>
      </w:pPr>
    </w:p>
    <w:p w:rsidR="00A27C90" w:rsidRDefault="00A27C90" w:rsidP="00A27C90">
      <w:pPr>
        <w:spacing w:line="480" w:lineRule="auto"/>
        <w:rPr>
          <w:rFonts w:ascii="Times New Roman" w:hAnsi="Times New Roman" w:cs="Times New Roman"/>
          <w:sz w:val="24"/>
          <w:szCs w:val="24"/>
        </w:rPr>
      </w:pPr>
    </w:p>
    <w:p w:rsidR="00A27C90" w:rsidRDefault="00A27C90" w:rsidP="00A27C90">
      <w:pPr>
        <w:spacing w:line="480" w:lineRule="auto"/>
        <w:rPr>
          <w:rFonts w:ascii="Times New Roman" w:hAnsi="Times New Roman" w:cs="Times New Roman"/>
          <w:sz w:val="24"/>
          <w:szCs w:val="24"/>
        </w:rPr>
      </w:pPr>
    </w:p>
    <w:p w:rsidR="00A27C90" w:rsidRDefault="00A27C90" w:rsidP="00A27C90">
      <w:pPr>
        <w:spacing w:line="480" w:lineRule="auto"/>
        <w:rPr>
          <w:rFonts w:ascii="Times New Roman" w:hAnsi="Times New Roman" w:cs="Times New Roman"/>
          <w:sz w:val="24"/>
          <w:szCs w:val="24"/>
        </w:rPr>
      </w:pPr>
    </w:p>
    <w:p w:rsidR="00A27C90" w:rsidRDefault="00A27C90" w:rsidP="00A27C90">
      <w:pPr>
        <w:spacing w:line="480" w:lineRule="auto"/>
        <w:rPr>
          <w:rFonts w:ascii="Times New Roman" w:hAnsi="Times New Roman" w:cs="Times New Roman"/>
          <w:sz w:val="24"/>
          <w:szCs w:val="24"/>
        </w:rPr>
      </w:pPr>
    </w:p>
    <w:p w:rsidR="00A27C90" w:rsidRDefault="00A27C90" w:rsidP="00A27C90">
      <w:pPr>
        <w:spacing w:line="480" w:lineRule="auto"/>
        <w:rPr>
          <w:rFonts w:ascii="Times New Roman" w:hAnsi="Times New Roman" w:cs="Times New Roman"/>
          <w:sz w:val="24"/>
          <w:szCs w:val="24"/>
        </w:rPr>
      </w:pPr>
    </w:p>
    <w:p w:rsidR="00A27C90" w:rsidRDefault="00A27C90" w:rsidP="00A27C90">
      <w:pPr>
        <w:spacing w:line="480" w:lineRule="auto"/>
        <w:rPr>
          <w:rFonts w:ascii="Times New Roman" w:hAnsi="Times New Roman" w:cs="Times New Roman"/>
          <w:sz w:val="24"/>
          <w:szCs w:val="24"/>
        </w:rPr>
      </w:pPr>
    </w:p>
    <w:p w:rsidR="00A27C90" w:rsidRDefault="00A27C90" w:rsidP="00A27C90">
      <w:pPr>
        <w:spacing w:line="480" w:lineRule="auto"/>
        <w:rPr>
          <w:rFonts w:ascii="Times New Roman" w:hAnsi="Times New Roman" w:cs="Times New Roman"/>
          <w:sz w:val="24"/>
          <w:szCs w:val="24"/>
        </w:rPr>
      </w:pPr>
    </w:p>
    <w:p w:rsidR="00A27C90" w:rsidRDefault="00A27C90" w:rsidP="00A27C90">
      <w:pPr>
        <w:spacing w:line="480" w:lineRule="auto"/>
        <w:rPr>
          <w:rFonts w:ascii="Times New Roman" w:hAnsi="Times New Roman" w:cs="Times New Roman"/>
          <w:sz w:val="24"/>
          <w:szCs w:val="24"/>
        </w:rPr>
      </w:pPr>
    </w:p>
    <w:p w:rsidR="00A27C90" w:rsidRPr="00A27C90" w:rsidRDefault="00A27C90" w:rsidP="00A27C90">
      <w:pPr>
        <w:spacing w:line="480" w:lineRule="auto"/>
        <w:jc w:val="center"/>
        <w:rPr>
          <w:rFonts w:ascii="Times New Roman" w:hAnsi="Times New Roman" w:cs="Times New Roman"/>
          <w:sz w:val="24"/>
          <w:szCs w:val="24"/>
        </w:rPr>
      </w:pPr>
      <w:r w:rsidRPr="00A27C90">
        <w:rPr>
          <w:rFonts w:ascii="Times New Roman" w:hAnsi="Times New Roman" w:cs="Times New Roman"/>
          <w:sz w:val="24"/>
          <w:szCs w:val="24"/>
        </w:rPr>
        <w:t>References</w:t>
      </w:r>
    </w:p>
    <w:p w:rsidR="00A27C90" w:rsidRPr="00A27C90" w:rsidRDefault="00A27C90" w:rsidP="00A27C90">
      <w:pPr>
        <w:keepLines/>
        <w:autoSpaceDE w:val="0"/>
        <w:autoSpaceDN w:val="0"/>
        <w:spacing w:line="480" w:lineRule="auto"/>
        <w:ind w:left="720" w:hanging="720"/>
        <w:rPr>
          <w:rFonts w:ascii="Times New Roman" w:hAnsi="Times New Roman" w:cs="Times New Roman"/>
          <w:sz w:val="24"/>
          <w:szCs w:val="24"/>
        </w:rPr>
      </w:pPr>
      <w:proofErr w:type="gramStart"/>
      <w:r w:rsidRPr="00A27C90">
        <w:rPr>
          <w:rFonts w:ascii="Times New Roman" w:hAnsi="Times New Roman" w:cs="Times New Roman"/>
          <w:sz w:val="24"/>
          <w:szCs w:val="24"/>
        </w:rPr>
        <w:t xml:space="preserve">American Academy of </w:t>
      </w:r>
      <w:proofErr w:type="spellStart"/>
      <w:r w:rsidRPr="00A27C90">
        <w:rPr>
          <w:rFonts w:ascii="Times New Roman" w:hAnsi="Times New Roman" w:cs="Times New Roman"/>
          <w:sz w:val="24"/>
          <w:szCs w:val="24"/>
        </w:rPr>
        <w:t>Orthopaedic</w:t>
      </w:r>
      <w:proofErr w:type="spellEnd"/>
      <w:r w:rsidRPr="00A27C90">
        <w:rPr>
          <w:rFonts w:ascii="Times New Roman" w:hAnsi="Times New Roman" w:cs="Times New Roman"/>
          <w:sz w:val="24"/>
          <w:szCs w:val="24"/>
        </w:rPr>
        <w:t xml:space="preserve"> Surgeons.</w:t>
      </w:r>
      <w:proofErr w:type="gramEnd"/>
      <w:r w:rsidRPr="00A27C90">
        <w:rPr>
          <w:rFonts w:ascii="Times New Roman" w:hAnsi="Times New Roman" w:cs="Times New Roman"/>
          <w:sz w:val="24"/>
          <w:szCs w:val="24"/>
        </w:rPr>
        <w:t xml:space="preserve"> </w:t>
      </w:r>
      <w:proofErr w:type="gramStart"/>
      <w:r w:rsidRPr="00A27C90">
        <w:rPr>
          <w:rFonts w:ascii="Times New Roman" w:hAnsi="Times New Roman" w:cs="Times New Roman"/>
          <w:sz w:val="24"/>
          <w:szCs w:val="24"/>
        </w:rPr>
        <w:t xml:space="preserve">(2009). </w:t>
      </w:r>
      <w:r w:rsidRPr="00A27C90">
        <w:rPr>
          <w:rFonts w:ascii="Times New Roman" w:hAnsi="Times New Roman" w:cs="Times New Roman"/>
          <w:i/>
          <w:iCs/>
          <w:sz w:val="24"/>
          <w:szCs w:val="24"/>
        </w:rPr>
        <w:t>Osteoporosis/</w:t>
      </w:r>
      <w:r w:rsidRPr="00A27C90">
        <w:rPr>
          <w:rFonts w:ascii="Times New Roman" w:hAnsi="Times New Roman" w:cs="Times New Roman"/>
          <w:sz w:val="24"/>
          <w:szCs w:val="24"/>
        </w:rPr>
        <w:t>‌</w:t>
      </w:r>
      <w:r w:rsidRPr="00A27C90">
        <w:rPr>
          <w:rFonts w:ascii="Times New Roman" w:hAnsi="Times New Roman" w:cs="Times New Roman"/>
          <w:i/>
          <w:iCs/>
          <w:sz w:val="24"/>
          <w:szCs w:val="24"/>
        </w:rPr>
        <w:t>bone health in adults as a national public health priority</w:t>
      </w:r>
      <w:r w:rsidRPr="00A27C90">
        <w:rPr>
          <w:rFonts w:ascii="Times New Roman" w:hAnsi="Times New Roman" w:cs="Times New Roman"/>
          <w:sz w:val="24"/>
          <w:szCs w:val="24"/>
        </w:rPr>
        <w:t>.</w:t>
      </w:r>
      <w:proofErr w:type="gramEnd"/>
      <w:r w:rsidRPr="00A27C90">
        <w:rPr>
          <w:rFonts w:ascii="Times New Roman" w:hAnsi="Times New Roman" w:cs="Times New Roman"/>
          <w:sz w:val="24"/>
          <w:szCs w:val="24"/>
        </w:rPr>
        <w:t xml:space="preserve"> Retrieved from http://www.aaos.org/‌about/‌papers/‌position/‌1113.asp</w:t>
      </w:r>
    </w:p>
    <w:p w:rsidR="00A27C90" w:rsidRPr="00A27C90" w:rsidRDefault="00A27C90" w:rsidP="00A27C90">
      <w:pPr>
        <w:keepLines/>
        <w:autoSpaceDE w:val="0"/>
        <w:autoSpaceDN w:val="0"/>
        <w:spacing w:line="480" w:lineRule="auto"/>
        <w:ind w:left="720" w:hanging="720"/>
        <w:rPr>
          <w:rFonts w:ascii="Times New Roman" w:hAnsi="Times New Roman" w:cs="Times New Roman"/>
          <w:sz w:val="24"/>
          <w:szCs w:val="24"/>
        </w:rPr>
      </w:pPr>
      <w:proofErr w:type="spellStart"/>
      <w:r w:rsidRPr="00A27C90">
        <w:rPr>
          <w:rFonts w:ascii="Times New Roman" w:hAnsi="Times New Roman" w:cs="Times New Roman"/>
          <w:sz w:val="24"/>
          <w:szCs w:val="24"/>
        </w:rPr>
        <w:t>Comerford</w:t>
      </w:r>
      <w:proofErr w:type="spellEnd"/>
      <w:r w:rsidRPr="00A27C90">
        <w:rPr>
          <w:rFonts w:ascii="Times New Roman" w:hAnsi="Times New Roman" w:cs="Times New Roman"/>
          <w:sz w:val="24"/>
          <w:szCs w:val="24"/>
        </w:rPr>
        <w:t xml:space="preserve">, K. C. (Ed.). (2012). </w:t>
      </w:r>
      <w:r w:rsidRPr="00A27C90">
        <w:rPr>
          <w:rFonts w:ascii="Times New Roman" w:hAnsi="Times New Roman" w:cs="Times New Roman"/>
          <w:i/>
          <w:iCs/>
          <w:sz w:val="24"/>
          <w:szCs w:val="24"/>
        </w:rPr>
        <w:t>Nursing drug handbook</w:t>
      </w:r>
      <w:r w:rsidRPr="00A27C90">
        <w:rPr>
          <w:rFonts w:ascii="Times New Roman" w:hAnsi="Times New Roman" w:cs="Times New Roman"/>
          <w:sz w:val="24"/>
          <w:szCs w:val="24"/>
        </w:rPr>
        <w:t xml:space="preserve"> (</w:t>
      </w:r>
      <w:proofErr w:type="gramStart"/>
      <w:r w:rsidRPr="00A27C90">
        <w:rPr>
          <w:rFonts w:ascii="Times New Roman" w:hAnsi="Times New Roman" w:cs="Times New Roman"/>
          <w:sz w:val="24"/>
          <w:szCs w:val="24"/>
        </w:rPr>
        <w:t>32nd  ed</w:t>
      </w:r>
      <w:proofErr w:type="gramEnd"/>
      <w:r w:rsidRPr="00A27C90">
        <w:rPr>
          <w:rFonts w:ascii="Times New Roman" w:hAnsi="Times New Roman" w:cs="Times New Roman"/>
          <w:sz w:val="24"/>
          <w:szCs w:val="24"/>
        </w:rPr>
        <w:t>.). Philadelphia, PA: Lippincott Williams &amp; Wilkins.</w:t>
      </w:r>
    </w:p>
    <w:p w:rsidR="00A27C90" w:rsidRPr="00A27C90" w:rsidRDefault="00A27C90" w:rsidP="00A27C90">
      <w:pPr>
        <w:keepLines/>
        <w:autoSpaceDE w:val="0"/>
        <w:autoSpaceDN w:val="0"/>
        <w:spacing w:line="480" w:lineRule="auto"/>
        <w:ind w:left="720" w:hanging="720"/>
        <w:rPr>
          <w:rFonts w:ascii="Times New Roman" w:hAnsi="Times New Roman" w:cs="Times New Roman"/>
          <w:sz w:val="24"/>
          <w:szCs w:val="24"/>
        </w:rPr>
      </w:pPr>
      <w:r w:rsidRPr="00A27C90">
        <w:rPr>
          <w:rFonts w:ascii="Times New Roman" w:hAnsi="Times New Roman" w:cs="Times New Roman"/>
          <w:sz w:val="24"/>
          <w:szCs w:val="24"/>
        </w:rPr>
        <w:t xml:space="preserve">Drugs.com. (2011, July 25). </w:t>
      </w:r>
      <w:proofErr w:type="spellStart"/>
      <w:proofErr w:type="gramStart"/>
      <w:r w:rsidRPr="00A27C90">
        <w:rPr>
          <w:rFonts w:ascii="Times New Roman" w:hAnsi="Times New Roman" w:cs="Times New Roman"/>
          <w:i/>
          <w:iCs/>
          <w:sz w:val="24"/>
          <w:szCs w:val="24"/>
        </w:rPr>
        <w:t>Fosamax</w:t>
      </w:r>
      <w:proofErr w:type="spellEnd"/>
      <w:r w:rsidRPr="00A27C90">
        <w:rPr>
          <w:rFonts w:ascii="Times New Roman" w:hAnsi="Times New Roman" w:cs="Times New Roman"/>
          <w:sz w:val="24"/>
          <w:szCs w:val="24"/>
        </w:rPr>
        <w:t>.</w:t>
      </w:r>
      <w:proofErr w:type="gramEnd"/>
      <w:r w:rsidRPr="00A27C90">
        <w:rPr>
          <w:rFonts w:ascii="Times New Roman" w:hAnsi="Times New Roman" w:cs="Times New Roman"/>
          <w:sz w:val="24"/>
          <w:szCs w:val="24"/>
        </w:rPr>
        <w:t xml:space="preserve"> Retrieved from http://www.drugs.com/‌fosamax.html</w:t>
      </w:r>
    </w:p>
    <w:p w:rsidR="00A27C90" w:rsidRPr="00A27C90" w:rsidRDefault="00A27C90" w:rsidP="00A27C90">
      <w:pPr>
        <w:keepLines/>
        <w:autoSpaceDE w:val="0"/>
        <w:autoSpaceDN w:val="0"/>
        <w:spacing w:line="480" w:lineRule="auto"/>
        <w:ind w:left="720" w:hanging="720"/>
        <w:rPr>
          <w:rFonts w:ascii="Times New Roman" w:hAnsi="Times New Roman" w:cs="Times New Roman"/>
          <w:sz w:val="24"/>
          <w:szCs w:val="24"/>
        </w:rPr>
      </w:pPr>
      <w:proofErr w:type="gramStart"/>
      <w:r w:rsidRPr="00A27C90">
        <w:rPr>
          <w:rFonts w:ascii="Times New Roman" w:hAnsi="Times New Roman" w:cs="Times New Roman"/>
          <w:sz w:val="24"/>
          <w:szCs w:val="24"/>
        </w:rPr>
        <w:t>Mayo Clinic staff.</w:t>
      </w:r>
      <w:proofErr w:type="gramEnd"/>
      <w:r w:rsidRPr="00A27C90">
        <w:rPr>
          <w:rFonts w:ascii="Times New Roman" w:hAnsi="Times New Roman" w:cs="Times New Roman"/>
          <w:sz w:val="24"/>
          <w:szCs w:val="24"/>
        </w:rPr>
        <w:t xml:space="preserve"> (2010, July 10). Fall prevention: 6 tips to prevent falls. </w:t>
      </w:r>
      <w:proofErr w:type="gramStart"/>
      <w:r w:rsidRPr="00A27C90">
        <w:rPr>
          <w:rFonts w:ascii="Times New Roman" w:hAnsi="Times New Roman" w:cs="Times New Roman"/>
          <w:sz w:val="24"/>
          <w:szCs w:val="24"/>
        </w:rPr>
        <w:t xml:space="preserve">In </w:t>
      </w:r>
      <w:r w:rsidRPr="00A27C90">
        <w:rPr>
          <w:rFonts w:ascii="Times New Roman" w:hAnsi="Times New Roman" w:cs="Times New Roman"/>
          <w:i/>
          <w:iCs/>
          <w:sz w:val="24"/>
          <w:szCs w:val="24"/>
        </w:rPr>
        <w:t>Healthy aging</w:t>
      </w:r>
      <w:r w:rsidRPr="00A27C90">
        <w:rPr>
          <w:rFonts w:ascii="Times New Roman" w:hAnsi="Times New Roman" w:cs="Times New Roman"/>
          <w:sz w:val="24"/>
          <w:szCs w:val="24"/>
        </w:rPr>
        <w:t>.</w:t>
      </w:r>
      <w:proofErr w:type="gramEnd"/>
      <w:r w:rsidRPr="00A27C90">
        <w:rPr>
          <w:rFonts w:ascii="Times New Roman" w:hAnsi="Times New Roman" w:cs="Times New Roman"/>
          <w:sz w:val="24"/>
          <w:szCs w:val="24"/>
        </w:rPr>
        <w:t xml:space="preserve"> Retrieved from http://www.mayoclinic.com/‌health/‌fall-prevention/‌HQ00657/‌NSECTIONGROUP=2</w:t>
      </w:r>
    </w:p>
    <w:p w:rsidR="00A27C90" w:rsidRPr="00A27C90" w:rsidRDefault="00A27C90" w:rsidP="00A27C90">
      <w:pPr>
        <w:keepLines/>
        <w:autoSpaceDE w:val="0"/>
        <w:autoSpaceDN w:val="0"/>
        <w:spacing w:line="480" w:lineRule="auto"/>
        <w:ind w:left="720" w:hanging="720"/>
        <w:rPr>
          <w:rFonts w:ascii="Times New Roman" w:hAnsi="Times New Roman" w:cs="Times New Roman"/>
          <w:sz w:val="24"/>
          <w:szCs w:val="24"/>
        </w:rPr>
      </w:pPr>
      <w:proofErr w:type="gramStart"/>
      <w:r w:rsidRPr="00A27C90">
        <w:rPr>
          <w:rFonts w:ascii="Times New Roman" w:hAnsi="Times New Roman" w:cs="Times New Roman"/>
          <w:sz w:val="24"/>
          <w:szCs w:val="24"/>
        </w:rPr>
        <w:t>Mayo Clinic staff.</w:t>
      </w:r>
      <w:proofErr w:type="gramEnd"/>
      <w:r w:rsidRPr="00A27C90">
        <w:rPr>
          <w:rFonts w:ascii="Times New Roman" w:hAnsi="Times New Roman" w:cs="Times New Roman"/>
          <w:sz w:val="24"/>
          <w:szCs w:val="24"/>
        </w:rPr>
        <w:t xml:space="preserve"> (2011, December 13). </w:t>
      </w:r>
      <w:proofErr w:type="gramStart"/>
      <w:r w:rsidRPr="00A27C90">
        <w:rPr>
          <w:rFonts w:ascii="Times New Roman" w:hAnsi="Times New Roman" w:cs="Times New Roman"/>
          <w:i/>
          <w:iCs/>
          <w:sz w:val="24"/>
          <w:szCs w:val="24"/>
        </w:rPr>
        <w:t>Osteoporosis</w:t>
      </w:r>
      <w:r w:rsidRPr="00A27C90">
        <w:rPr>
          <w:rFonts w:ascii="Times New Roman" w:hAnsi="Times New Roman" w:cs="Times New Roman"/>
          <w:sz w:val="24"/>
          <w:szCs w:val="24"/>
        </w:rPr>
        <w:t>.</w:t>
      </w:r>
      <w:proofErr w:type="gramEnd"/>
      <w:r w:rsidRPr="00A27C90">
        <w:rPr>
          <w:rFonts w:ascii="Times New Roman" w:hAnsi="Times New Roman" w:cs="Times New Roman"/>
          <w:sz w:val="24"/>
          <w:szCs w:val="24"/>
        </w:rPr>
        <w:t xml:space="preserve"> Retrieved from http://www.mayoclinic.com/‌health/‌osteoporosis/‌DS00128/‌DSECTION=risk-factors</w:t>
      </w:r>
    </w:p>
    <w:p w:rsidR="00A27C90" w:rsidRPr="00A27C90" w:rsidRDefault="00A27C90" w:rsidP="00A27C90">
      <w:pPr>
        <w:keepLines/>
        <w:autoSpaceDE w:val="0"/>
        <w:autoSpaceDN w:val="0"/>
        <w:spacing w:line="480" w:lineRule="auto"/>
        <w:ind w:left="720" w:hanging="720"/>
        <w:rPr>
          <w:rFonts w:ascii="Times New Roman" w:hAnsi="Times New Roman" w:cs="Times New Roman"/>
          <w:sz w:val="24"/>
          <w:szCs w:val="24"/>
        </w:rPr>
      </w:pPr>
      <w:proofErr w:type="spellStart"/>
      <w:proofErr w:type="gramStart"/>
      <w:r w:rsidRPr="00A27C90">
        <w:rPr>
          <w:rFonts w:ascii="Times New Roman" w:hAnsi="Times New Roman" w:cs="Times New Roman"/>
          <w:sz w:val="24"/>
          <w:szCs w:val="24"/>
        </w:rPr>
        <w:t>MeasureUpSydney</w:t>
      </w:r>
      <w:proofErr w:type="spellEnd"/>
      <w:r w:rsidRPr="00A27C90">
        <w:rPr>
          <w:rFonts w:ascii="Times New Roman" w:hAnsi="Times New Roman" w:cs="Times New Roman"/>
          <w:sz w:val="24"/>
          <w:szCs w:val="24"/>
        </w:rPr>
        <w:t>.</w:t>
      </w:r>
      <w:proofErr w:type="gramEnd"/>
      <w:r w:rsidRPr="00A27C90">
        <w:rPr>
          <w:rFonts w:ascii="Times New Roman" w:hAnsi="Times New Roman" w:cs="Times New Roman"/>
          <w:sz w:val="24"/>
          <w:szCs w:val="24"/>
        </w:rPr>
        <w:t xml:space="preserve"> (2011, August 14). </w:t>
      </w:r>
      <w:proofErr w:type="spellStart"/>
      <w:r w:rsidRPr="00A27C90">
        <w:rPr>
          <w:rFonts w:ascii="Times New Roman" w:hAnsi="Times New Roman" w:cs="Times New Roman"/>
          <w:sz w:val="24"/>
          <w:szCs w:val="24"/>
        </w:rPr>
        <w:t>MeasureUp</w:t>
      </w:r>
      <w:proofErr w:type="spellEnd"/>
      <w:r w:rsidRPr="00A27C90">
        <w:rPr>
          <w:rFonts w:ascii="Times New Roman" w:hAnsi="Times New Roman" w:cs="Times New Roman"/>
          <w:sz w:val="24"/>
          <w:szCs w:val="24"/>
        </w:rPr>
        <w:t>- DEXA scan [Video file]. Retrieved from http://www.youtube.com/‌watch?v=rdPI9bE6SGU</w:t>
      </w:r>
    </w:p>
    <w:p w:rsidR="00A27C90" w:rsidRPr="00A27C90" w:rsidRDefault="00A27C90" w:rsidP="00A27C90">
      <w:pPr>
        <w:keepLines/>
        <w:autoSpaceDE w:val="0"/>
        <w:autoSpaceDN w:val="0"/>
        <w:spacing w:line="480" w:lineRule="auto"/>
        <w:ind w:left="720" w:hanging="720"/>
        <w:rPr>
          <w:rFonts w:ascii="Times New Roman" w:hAnsi="Times New Roman" w:cs="Times New Roman"/>
          <w:sz w:val="24"/>
          <w:szCs w:val="24"/>
        </w:rPr>
      </w:pPr>
      <w:proofErr w:type="gramStart"/>
      <w:r w:rsidRPr="00A27C90">
        <w:rPr>
          <w:rFonts w:ascii="Times New Roman" w:hAnsi="Times New Roman" w:cs="Times New Roman"/>
          <w:sz w:val="24"/>
          <w:szCs w:val="24"/>
        </w:rPr>
        <w:t>University of Maryland Medical Center.</w:t>
      </w:r>
      <w:proofErr w:type="gramEnd"/>
      <w:r w:rsidRPr="00A27C90">
        <w:rPr>
          <w:rFonts w:ascii="Times New Roman" w:hAnsi="Times New Roman" w:cs="Times New Roman"/>
          <w:sz w:val="24"/>
          <w:szCs w:val="24"/>
        </w:rPr>
        <w:t xml:space="preserve"> (2009, August 5). </w:t>
      </w:r>
      <w:proofErr w:type="gramStart"/>
      <w:r w:rsidRPr="00A27C90">
        <w:rPr>
          <w:rFonts w:ascii="Times New Roman" w:hAnsi="Times New Roman" w:cs="Times New Roman"/>
          <w:sz w:val="24"/>
          <w:szCs w:val="24"/>
        </w:rPr>
        <w:t>Menopausal symptoms and premature menopause after hysterectomy.</w:t>
      </w:r>
      <w:proofErr w:type="gramEnd"/>
      <w:r w:rsidRPr="00A27C90">
        <w:rPr>
          <w:rFonts w:ascii="Times New Roman" w:hAnsi="Times New Roman" w:cs="Times New Roman"/>
          <w:sz w:val="24"/>
          <w:szCs w:val="24"/>
        </w:rPr>
        <w:t xml:space="preserve"> </w:t>
      </w:r>
      <w:proofErr w:type="gramStart"/>
      <w:r w:rsidRPr="00A27C90">
        <w:rPr>
          <w:rFonts w:ascii="Times New Roman" w:hAnsi="Times New Roman" w:cs="Times New Roman"/>
          <w:sz w:val="24"/>
          <w:szCs w:val="24"/>
        </w:rPr>
        <w:t xml:space="preserve">In </w:t>
      </w:r>
      <w:r w:rsidRPr="00A27C90">
        <w:rPr>
          <w:rFonts w:ascii="Times New Roman" w:hAnsi="Times New Roman" w:cs="Times New Roman"/>
          <w:i/>
          <w:iCs/>
          <w:sz w:val="24"/>
          <w:szCs w:val="24"/>
        </w:rPr>
        <w:t>Uterine fibroids and hysterectomy- Hysterectomy</w:t>
      </w:r>
      <w:r w:rsidRPr="00A27C90">
        <w:rPr>
          <w:rFonts w:ascii="Times New Roman" w:hAnsi="Times New Roman" w:cs="Times New Roman"/>
          <w:sz w:val="24"/>
          <w:szCs w:val="24"/>
        </w:rPr>
        <w:t>.</w:t>
      </w:r>
      <w:proofErr w:type="gramEnd"/>
      <w:r w:rsidRPr="00A27C90">
        <w:rPr>
          <w:rFonts w:ascii="Times New Roman" w:hAnsi="Times New Roman" w:cs="Times New Roman"/>
          <w:sz w:val="24"/>
          <w:szCs w:val="24"/>
        </w:rPr>
        <w:t xml:space="preserve"> Retrieved from http://www.umm.edu/‌patiented/‌articles/‌what_a_hysterectomy_000073_11.htm</w:t>
      </w:r>
    </w:p>
    <w:p w:rsidR="0053710A" w:rsidRPr="00A27C90" w:rsidRDefault="0053710A" w:rsidP="00A27C90">
      <w:pPr>
        <w:spacing w:line="480" w:lineRule="auto"/>
        <w:rPr>
          <w:rFonts w:ascii="Times New Roman" w:hAnsi="Times New Roman" w:cs="Times New Roman"/>
          <w:sz w:val="24"/>
          <w:szCs w:val="24"/>
        </w:rPr>
      </w:pPr>
    </w:p>
    <w:p w:rsidR="00C70327" w:rsidRPr="009E75C7" w:rsidRDefault="00C70327" w:rsidP="00C70327">
      <w:pPr>
        <w:pStyle w:val="ListParagraph"/>
        <w:spacing w:line="480" w:lineRule="auto"/>
        <w:rPr>
          <w:rFonts w:ascii="Times New Roman" w:hAnsi="Times New Roman" w:cs="Times New Roman"/>
          <w:sz w:val="24"/>
          <w:szCs w:val="24"/>
        </w:rPr>
      </w:pPr>
    </w:p>
    <w:sectPr w:rsidR="00C70327" w:rsidRPr="009E75C7" w:rsidSect="0053710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2186" w:rsidRDefault="002E2186" w:rsidP="00103AF3">
      <w:pPr>
        <w:spacing w:after="0" w:line="240" w:lineRule="auto"/>
      </w:pPr>
      <w:r>
        <w:separator/>
      </w:r>
    </w:p>
  </w:endnote>
  <w:endnote w:type="continuationSeparator" w:id="0">
    <w:p w:rsidR="002E2186" w:rsidRDefault="002E2186" w:rsidP="00103A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2186" w:rsidRDefault="002E2186" w:rsidP="00103AF3">
      <w:pPr>
        <w:spacing w:after="0" w:line="240" w:lineRule="auto"/>
      </w:pPr>
      <w:r>
        <w:separator/>
      </w:r>
    </w:p>
  </w:footnote>
  <w:footnote w:type="continuationSeparator" w:id="0">
    <w:p w:rsidR="002E2186" w:rsidRDefault="002E2186" w:rsidP="00103A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AF3" w:rsidRPr="00103AF3" w:rsidRDefault="00A0299E">
    <w:pPr>
      <w:pStyle w:val="Header"/>
      <w:rPr>
        <w:rFonts w:ascii="Times New Roman" w:hAnsi="Times New Roman" w:cs="Times New Roman"/>
        <w:sz w:val="24"/>
        <w:szCs w:val="24"/>
      </w:rPr>
    </w:pPr>
    <w:r>
      <w:rPr>
        <w:rFonts w:ascii="Times New Roman" w:hAnsi="Times New Roman" w:cs="Times New Roman"/>
        <w:sz w:val="24"/>
        <w:szCs w:val="24"/>
      </w:rPr>
      <w:t>OSTEO</w:t>
    </w:r>
    <w:r w:rsidR="005717C6">
      <w:rPr>
        <w:rFonts w:ascii="Times New Roman" w:hAnsi="Times New Roman" w:cs="Times New Roman"/>
        <w:sz w:val="24"/>
        <w:szCs w:val="24"/>
      </w:rPr>
      <w:t>POROSIS</w:t>
    </w:r>
    <w:r w:rsidR="00103AF3" w:rsidRPr="00103AF3">
      <w:rPr>
        <w:rFonts w:ascii="Times New Roman" w:hAnsi="Times New Roman" w:cs="Times New Roman"/>
        <w:sz w:val="24"/>
        <w:szCs w:val="24"/>
      </w:rPr>
      <w:tab/>
    </w:r>
    <w:r w:rsidR="00103AF3" w:rsidRPr="00103AF3">
      <w:rPr>
        <w:rFonts w:ascii="Times New Roman" w:hAnsi="Times New Roman" w:cs="Times New Roman"/>
        <w:sz w:val="24"/>
        <w:szCs w:val="24"/>
      </w:rPr>
      <w:tab/>
    </w:r>
    <w:r w:rsidR="001307C8" w:rsidRPr="00103AF3">
      <w:rPr>
        <w:rFonts w:ascii="Times New Roman" w:hAnsi="Times New Roman" w:cs="Times New Roman"/>
        <w:sz w:val="24"/>
        <w:szCs w:val="24"/>
      </w:rPr>
      <w:fldChar w:fldCharType="begin"/>
    </w:r>
    <w:r w:rsidR="00103AF3" w:rsidRPr="00103AF3">
      <w:rPr>
        <w:rFonts w:ascii="Times New Roman" w:hAnsi="Times New Roman" w:cs="Times New Roman"/>
        <w:sz w:val="24"/>
        <w:szCs w:val="24"/>
      </w:rPr>
      <w:instrText xml:space="preserve"> PAGE   \* MERGEFORMAT </w:instrText>
    </w:r>
    <w:r w:rsidR="001307C8" w:rsidRPr="00103AF3">
      <w:rPr>
        <w:rFonts w:ascii="Times New Roman" w:hAnsi="Times New Roman" w:cs="Times New Roman"/>
        <w:sz w:val="24"/>
        <w:szCs w:val="24"/>
      </w:rPr>
      <w:fldChar w:fldCharType="separate"/>
    </w:r>
    <w:r w:rsidR="00C95D7C">
      <w:rPr>
        <w:rFonts w:ascii="Times New Roman" w:hAnsi="Times New Roman" w:cs="Times New Roman"/>
        <w:noProof/>
        <w:sz w:val="24"/>
        <w:szCs w:val="24"/>
      </w:rPr>
      <w:t>2</w:t>
    </w:r>
    <w:r w:rsidR="001307C8" w:rsidRPr="00103AF3">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10A" w:rsidRPr="0053710A" w:rsidRDefault="0053710A">
    <w:pPr>
      <w:pStyle w:val="Header"/>
      <w:rPr>
        <w:rFonts w:ascii="Times New Roman" w:hAnsi="Times New Roman" w:cs="Times New Roman"/>
        <w:sz w:val="24"/>
        <w:szCs w:val="24"/>
      </w:rPr>
    </w:pPr>
    <w:r w:rsidRPr="0053710A">
      <w:rPr>
        <w:rFonts w:ascii="Times New Roman" w:hAnsi="Times New Roman" w:cs="Times New Roman"/>
        <w:sz w:val="24"/>
        <w:szCs w:val="24"/>
      </w:rPr>
      <w:t>Running head:</w:t>
    </w:r>
    <w:r w:rsidR="005717C6">
      <w:rPr>
        <w:rFonts w:ascii="Times New Roman" w:hAnsi="Times New Roman" w:cs="Times New Roman"/>
        <w:sz w:val="24"/>
        <w:szCs w:val="24"/>
      </w:rPr>
      <w:t xml:space="preserve"> OSTEOPOROSIS</w:t>
    </w:r>
    <w:r w:rsidRPr="0053710A">
      <w:rPr>
        <w:rFonts w:ascii="Times New Roman" w:hAnsi="Times New Roman" w:cs="Times New Roman"/>
        <w:sz w:val="24"/>
        <w:szCs w:val="24"/>
      </w:rPr>
      <w:tab/>
    </w:r>
    <w:r w:rsidRPr="0053710A">
      <w:rPr>
        <w:rFonts w:ascii="Times New Roman" w:hAnsi="Times New Roman" w:cs="Times New Roman"/>
        <w:sz w:val="24"/>
        <w:szCs w:val="24"/>
      </w:rPr>
      <w:tab/>
    </w:r>
    <w:r w:rsidR="001307C8" w:rsidRPr="0053710A">
      <w:rPr>
        <w:rFonts w:ascii="Times New Roman" w:hAnsi="Times New Roman" w:cs="Times New Roman"/>
        <w:sz w:val="24"/>
        <w:szCs w:val="24"/>
      </w:rPr>
      <w:fldChar w:fldCharType="begin"/>
    </w:r>
    <w:r w:rsidRPr="0053710A">
      <w:rPr>
        <w:rFonts w:ascii="Times New Roman" w:hAnsi="Times New Roman" w:cs="Times New Roman"/>
        <w:sz w:val="24"/>
        <w:szCs w:val="24"/>
      </w:rPr>
      <w:instrText xml:space="preserve"> PAGE   \* MERGEFORMAT </w:instrText>
    </w:r>
    <w:r w:rsidR="001307C8" w:rsidRPr="0053710A">
      <w:rPr>
        <w:rFonts w:ascii="Times New Roman" w:hAnsi="Times New Roman" w:cs="Times New Roman"/>
        <w:sz w:val="24"/>
        <w:szCs w:val="24"/>
      </w:rPr>
      <w:fldChar w:fldCharType="separate"/>
    </w:r>
    <w:r w:rsidR="00C95D7C">
      <w:rPr>
        <w:rFonts w:ascii="Times New Roman" w:hAnsi="Times New Roman" w:cs="Times New Roman"/>
        <w:noProof/>
        <w:sz w:val="24"/>
        <w:szCs w:val="24"/>
      </w:rPr>
      <w:t>1</w:t>
    </w:r>
    <w:r w:rsidR="001307C8" w:rsidRPr="0053710A">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D32BDF"/>
    <w:multiLevelType w:val="hybridMultilevel"/>
    <w:tmpl w:val="F5EE6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2B010C"/>
    <w:multiLevelType w:val="hybridMultilevel"/>
    <w:tmpl w:val="1ABE4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02168"/>
    <w:rsid w:val="000614F2"/>
    <w:rsid w:val="000867A2"/>
    <w:rsid w:val="00103AF3"/>
    <w:rsid w:val="001307C8"/>
    <w:rsid w:val="002E2186"/>
    <w:rsid w:val="00320427"/>
    <w:rsid w:val="0042100C"/>
    <w:rsid w:val="00524555"/>
    <w:rsid w:val="0053710A"/>
    <w:rsid w:val="005717C6"/>
    <w:rsid w:val="006E1E9D"/>
    <w:rsid w:val="007309B2"/>
    <w:rsid w:val="00766922"/>
    <w:rsid w:val="007B43E2"/>
    <w:rsid w:val="009E75C7"/>
    <w:rsid w:val="00A0299E"/>
    <w:rsid w:val="00A27C90"/>
    <w:rsid w:val="00C02168"/>
    <w:rsid w:val="00C70327"/>
    <w:rsid w:val="00C95D7C"/>
    <w:rsid w:val="00E1318E"/>
    <w:rsid w:val="00FD53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4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03A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3AF3"/>
  </w:style>
  <w:style w:type="paragraph" w:styleId="Footer">
    <w:name w:val="footer"/>
    <w:basedOn w:val="Normal"/>
    <w:link w:val="FooterChar"/>
    <w:uiPriority w:val="99"/>
    <w:unhideWhenUsed/>
    <w:rsid w:val="00103A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AF3"/>
  </w:style>
  <w:style w:type="paragraph" w:styleId="ListParagraph">
    <w:name w:val="List Paragraph"/>
    <w:basedOn w:val="Normal"/>
    <w:uiPriority w:val="34"/>
    <w:qFormat/>
    <w:rsid w:val="00103AF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1733</Words>
  <Characters>9881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Chelsea Rosnett</dc:creator>
  <cp:lastModifiedBy>Mary</cp:lastModifiedBy>
  <cp:revision>2</cp:revision>
  <dcterms:created xsi:type="dcterms:W3CDTF">2012-03-05T07:44:00Z</dcterms:created>
  <dcterms:modified xsi:type="dcterms:W3CDTF">2012-03-05T07:44:00Z</dcterms:modified>
</cp:coreProperties>
</file>