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EB" w:rsidRDefault="00597EEB" w:rsidP="00597EEB">
      <w:pPr>
        <w:spacing w:line="480" w:lineRule="auto"/>
        <w:jc w:val="center"/>
      </w:pPr>
    </w:p>
    <w:p w:rsidR="00597EEB" w:rsidRDefault="00597EEB" w:rsidP="00597EEB">
      <w:pPr>
        <w:spacing w:line="480" w:lineRule="auto"/>
        <w:jc w:val="center"/>
        <w:rPr>
          <w:rFonts w:cs="Times New Roman"/>
          <w:sz w:val="24"/>
          <w:szCs w:val="24"/>
        </w:rPr>
      </w:pPr>
    </w:p>
    <w:p w:rsidR="00597EEB" w:rsidRPr="00C570E2" w:rsidRDefault="00C570E2" w:rsidP="00597EEB">
      <w:pPr>
        <w:spacing w:line="480" w:lineRule="auto"/>
        <w:jc w:val="center"/>
        <w:rPr>
          <w:rFonts w:cs="Times New Roman"/>
          <w:color w:val="FF0000"/>
          <w:sz w:val="24"/>
          <w:szCs w:val="24"/>
        </w:rPr>
      </w:pPr>
      <w:r w:rsidRPr="00C570E2">
        <w:rPr>
          <w:rFonts w:cs="Times New Roman"/>
          <w:color w:val="FF0000"/>
          <w:sz w:val="24"/>
          <w:szCs w:val="24"/>
        </w:rPr>
        <w:t>28/30</w:t>
      </w:r>
    </w:p>
    <w:p w:rsidR="00597EEB" w:rsidRDefault="00597EEB" w:rsidP="00597EEB">
      <w:pPr>
        <w:spacing w:line="480" w:lineRule="auto"/>
        <w:jc w:val="center"/>
        <w:rPr>
          <w:rFonts w:cs="Times New Roman"/>
          <w:sz w:val="24"/>
          <w:szCs w:val="24"/>
        </w:rPr>
      </w:pPr>
    </w:p>
    <w:p w:rsidR="00597EEB" w:rsidRDefault="00597EEB" w:rsidP="00597EEB">
      <w:pPr>
        <w:spacing w:line="480" w:lineRule="auto"/>
        <w:jc w:val="center"/>
        <w:rPr>
          <w:rFonts w:cs="Times New Roman"/>
          <w:sz w:val="24"/>
          <w:szCs w:val="24"/>
        </w:rPr>
      </w:pPr>
    </w:p>
    <w:p w:rsidR="00597EEB" w:rsidRPr="00F55429" w:rsidRDefault="00597EEB" w:rsidP="00597EEB">
      <w:pPr>
        <w:spacing w:line="480" w:lineRule="auto"/>
        <w:jc w:val="center"/>
        <w:rPr>
          <w:rFonts w:cs="Times New Roman"/>
          <w:sz w:val="24"/>
          <w:szCs w:val="24"/>
        </w:rPr>
      </w:pPr>
      <w:r w:rsidRPr="00F55429">
        <w:rPr>
          <w:rFonts w:cs="Times New Roman"/>
          <w:sz w:val="24"/>
          <w:szCs w:val="24"/>
        </w:rPr>
        <w:t xml:space="preserve">Gerontology Case Study </w:t>
      </w:r>
      <w:r>
        <w:rPr>
          <w:rFonts w:cs="Times New Roman"/>
          <w:sz w:val="24"/>
          <w:szCs w:val="24"/>
        </w:rPr>
        <w:t>Week 6</w:t>
      </w:r>
    </w:p>
    <w:p w:rsidR="00597EEB" w:rsidRPr="00F55429" w:rsidRDefault="00597EEB" w:rsidP="00597EEB">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Chelsea K. Owens</w:t>
      </w:r>
    </w:p>
    <w:p w:rsidR="00597EEB" w:rsidRPr="00F55429" w:rsidRDefault="00597EEB" w:rsidP="00597EEB">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Lakeview College of Nursing</w:t>
      </w:r>
    </w:p>
    <w:p w:rsidR="00597EEB" w:rsidRPr="00F55429" w:rsidRDefault="00597EEB" w:rsidP="00597EEB">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N309 Nursing of the Gerontological Client</w:t>
      </w:r>
    </w:p>
    <w:p w:rsidR="00597EEB" w:rsidRPr="00F55429" w:rsidRDefault="00597EEB" w:rsidP="00597EEB">
      <w:pPr>
        <w:pStyle w:val="NoSpacing"/>
        <w:spacing w:line="480" w:lineRule="auto"/>
        <w:jc w:val="center"/>
        <w:rPr>
          <w:rFonts w:ascii="Times New Roman" w:hAnsi="Times New Roman" w:cs="Times New Roman"/>
          <w:sz w:val="24"/>
          <w:szCs w:val="24"/>
        </w:rPr>
      </w:pPr>
      <w:r w:rsidRPr="00F55429">
        <w:rPr>
          <w:rFonts w:ascii="Times New Roman" w:hAnsi="Times New Roman" w:cs="Times New Roman"/>
          <w:sz w:val="24"/>
          <w:szCs w:val="24"/>
        </w:rPr>
        <w:t>February 11, 2012</w:t>
      </w:r>
    </w:p>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p w:rsidR="00597EEB" w:rsidRDefault="00597EEB" w:rsidP="00597EEB">
      <w:pPr>
        <w:spacing w:line="480" w:lineRule="auto"/>
      </w:pPr>
    </w:p>
    <w:p w:rsidR="00597EEB" w:rsidRDefault="00597EEB" w:rsidP="00597EEB">
      <w:pPr>
        <w:spacing w:line="480" w:lineRule="auto"/>
        <w:jc w:val="center"/>
      </w:pPr>
      <w:r>
        <w:lastRenderedPageBreak/>
        <w:t>Case Study Week 6</w:t>
      </w:r>
    </w:p>
    <w:p w:rsidR="005E0ECB" w:rsidRPr="00856404" w:rsidRDefault="001979BD" w:rsidP="00597EEB">
      <w:pPr>
        <w:spacing w:line="480" w:lineRule="auto"/>
        <w:rPr>
          <w:color w:val="FF0000"/>
        </w:rPr>
      </w:pPr>
      <w:r w:rsidRPr="005E0ECB">
        <w:t xml:space="preserve">1. There are many preventative measures one can take to avoid osteoporosis. According to </w:t>
      </w:r>
      <w:r w:rsidR="005E0ECB">
        <w:t>Mauk</w:t>
      </w:r>
      <w:r w:rsidRPr="005E0ECB">
        <w:t xml:space="preserve"> (2010), the following steps should be taken to prevent osteoporosis before age 20, when the</w:t>
      </w:r>
      <w:r w:rsidR="005E0ECB" w:rsidRPr="005E0ECB">
        <w:t xml:space="preserve"> bones are fully developed. </w:t>
      </w:r>
      <w:r w:rsidR="005E0ECB">
        <w:t xml:space="preserve">Mauk </w:t>
      </w:r>
      <w:r w:rsidRPr="005E0ECB">
        <w:t>(2010) tells us that one should include eating a well-balanced diet with plenty of calcium and vitamin D. We should refrain from smoking and excessive alcohol intake. Weight-bearing exercises should be done frequently and discussing any treatment options with the physician is also a good idea. Calcium can be consumed from milk, yogurt, broccoli, and enriched cereals. A supplement can also be taken.</w:t>
      </w:r>
      <w:r w:rsidR="00856404">
        <w:t xml:space="preserve"> </w:t>
      </w:r>
      <w:r w:rsidR="00856404">
        <w:rPr>
          <w:color w:val="FF0000"/>
        </w:rPr>
        <w:t>This was to be related to the lady that lived on the farm</w:t>
      </w:r>
    </w:p>
    <w:p w:rsidR="00354B70" w:rsidRDefault="001979BD" w:rsidP="00597EEB">
      <w:pPr>
        <w:spacing w:line="480" w:lineRule="auto"/>
      </w:pPr>
      <w:r w:rsidRPr="005E0ECB">
        <w:t xml:space="preserve">2. </w:t>
      </w:r>
      <w:r w:rsidR="00354B70" w:rsidRPr="005E0ECB">
        <w:t>There are risk factors for osteoporosis regarding race, gender, and body type. According to Mauk (2010), osteoporosis affects about 10 million Americans, in which a majority (80%) occurs in women and only 20% occur in men.</w:t>
      </w:r>
      <w:r w:rsidR="005E0ECB">
        <w:t xml:space="preserve"> The National Osteoporosis Foundation (2008) claims that it occurs more commonly in older people than younger people and osteoporosis also affects women and men with small bones more so than it affects larger people. </w:t>
      </w:r>
    </w:p>
    <w:p w:rsidR="00856404" w:rsidRPr="00856404" w:rsidRDefault="00856404" w:rsidP="00856404">
      <w:pPr>
        <w:autoSpaceDE w:val="0"/>
        <w:autoSpaceDN w:val="0"/>
        <w:adjustRightInd w:val="0"/>
        <w:rPr>
          <w:rFonts w:ascii="ITCGaramondStd-Bk" w:hAnsi="ITCGaramondStd-Bk" w:cs="ITCGaramondStd-Bk"/>
          <w:color w:val="FF0000"/>
        </w:rPr>
      </w:pPr>
      <w:proofErr w:type="gramStart"/>
      <w:r w:rsidRPr="00856404">
        <w:rPr>
          <w:rFonts w:ascii="ITCGaramondStd-Bk" w:hAnsi="ITCGaramondStd-Bk" w:cs="ITCGaramondStd-Bk"/>
          <w:color w:val="FF0000"/>
        </w:rPr>
        <w:t>while</w:t>
      </w:r>
      <w:proofErr w:type="gramEnd"/>
      <w:r w:rsidRPr="00856404">
        <w:rPr>
          <w:rFonts w:ascii="ITCGaramondStd-Bk" w:hAnsi="ITCGaramondStd-Bk" w:cs="ITCGaramondStd-Bk"/>
          <w:color w:val="FF0000"/>
        </w:rPr>
        <w:t xml:space="preserve"> osteoporosis affects all races and ethnicities, people in the United States who are Caucasian or of Asian or Latino descent, are more likely to develop osteoporosis than those of African heritage</w:t>
      </w:r>
    </w:p>
    <w:p w:rsidR="00856404" w:rsidRPr="00856404" w:rsidRDefault="00856404" w:rsidP="00856404">
      <w:pPr>
        <w:autoSpaceDE w:val="0"/>
        <w:autoSpaceDN w:val="0"/>
        <w:adjustRightInd w:val="0"/>
        <w:rPr>
          <w:color w:val="FF0000"/>
        </w:rPr>
      </w:pPr>
    </w:p>
    <w:p w:rsidR="00D25863" w:rsidRDefault="005E0ECB" w:rsidP="00597EEB">
      <w:pPr>
        <w:spacing w:line="480" w:lineRule="auto"/>
      </w:pPr>
      <w:r>
        <w:t>3.</w:t>
      </w:r>
      <w:r w:rsidR="00D25863">
        <w:t xml:space="preserve"> According to </w:t>
      </w:r>
      <w:proofErr w:type="gramStart"/>
      <w:r w:rsidR="00D25863">
        <w:t>RadiologyInfo.org  (</w:t>
      </w:r>
      <w:proofErr w:type="gramEnd"/>
      <w:r w:rsidR="00D25863">
        <w:t xml:space="preserve">2011), a DXA is known as a dual-energy x-ray absorptiometry, or a bone density scanning. It is an enhanced form of x-ray technology that is used to measure bone loss. It is used today to measure bone mineral density or BMD and to diagnose osteoporosis. The way the DXA works is by sending a thin, invisible beam of a lose-dose x-ray with two distinct energy peaks through the bones being looked at. One of the peaks is absorbed mainly by soft tissue and the other is absorbed by bone. The software is displayed on a computer screen. </w:t>
      </w:r>
    </w:p>
    <w:p w:rsidR="00856404" w:rsidRPr="00856404" w:rsidRDefault="00856404" w:rsidP="00856404">
      <w:pPr>
        <w:autoSpaceDE w:val="0"/>
        <w:autoSpaceDN w:val="0"/>
        <w:adjustRightInd w:val="0"/>
        <w:rPr>
          <w:rFonts w:ascii="ITCGaramondStd-Bk" w:hAnsi="ITCGaramondStd-Bk" w:cs="ITCGaramondStd-Bk"/>
          <w:color w:val="FF0000"/>
        </w:rPr>
      </w:pPr>
      <w:r w:rsidRPr="00856404">
        <w:rPr>
          <w:color w:val="FF0000"/>
        </w:rPr>
        <w:t xml:space="preserve"> </w:t>
      </w:r>
      <w:r w:rsidRPr="00856404">
        <w:rPr>
          <w:rFonts w:ascii="ITCGaramondStd-Bk" w:hAnsi="ITCGaramondStd-Bk" w:cs="ITCGaramondStd-Bk"/>
          <w:color w:val="FF000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856404" w:rsidRDefault="00856404" w:rsidP="00856404">
      <w:pPr>
        <w:autoSpaceDE w:val="0"/>
        <w:autoSpaceDN w:val="0"/>
        <w:adjustRightInd w:val="0"/>
      </w:pPr>
    </w:p>
    <w:p w:rsidR="001E0E8D" w:rsidRDefault="001E0E8D" w:rsidP="00597EEB">
      <w:pPr>
        <w:spacing w:line="480" w:lineRule="auto"/>
      </w:pPr>
      <w:r>
        <w:t>4. According to RadiologyInfo.org (2011), w</w:t>
      </w:r>
      <w:r w:rsidR="00C72005">
        <w:t>hen women get a hysterectomy, they lose their uterus, therefore lowering the</w:t>
      </w:r>
      <w:r w:rsidR="00D65B77">
        <w:t>ir</w:t>
      </w:r>
      <w:r w:rsidR="00C72005">
        <w:t xml:space="preserve"> estrogen levels significantly. Elizabeth is a </w:t>
      </w:r>
      <w:r w:rsidR="00D65B77">
        <w:t>woma</w:t>
      </w:r>
      <w:r w:rsidR="00C72005">
        <w:t>n who received a hysterectomy and also had her ovaries removed.</w:t>
      </w:r>
      <w:r w:rsidR="00D65B77">
        <w:t xml:space="preserve"> </w:t>
      </w:r>
      <w:r>
        <w:t>Low levels of estrogen can greatly increase a woman’s chances of getting osteoporosis later on in their life.</w:t>
      </w:r>
    </w:p>
    <w:p w:rsidR="00BF7440" w:rsidRDefault="001E0E8D" w:rsidP="00597EEB">
      <w:pPr>
        <w:spacing w:line="480" w:lineRule="auto"/>
      </w:pPr>
      <w:r>
        <w:t xml:space="preserve">5. According to Skidmore-Roth (2012), Os-cal is an antacid that neutralizes gastric </w:t>
      </w:r>
      <w:proofErr w:type="spellStart"/>
      <w:r>
        <w:t>acidity.</w:t>
      </w:r>
      <w:r w:rsidR="003B158C">
        <w:rPr>
          <w:color w:val="FF0000"/>
        </w:rPr>
        <w:t>Oscal</w:t>
      </w:r>
      <w:proofErr w:type="spellEnd"/>
      <w:r w:rsidR="003B158C">
        <w:rPr>
          <w:color w:val="FF0000"/>
        </w:rPr>
        <w:t xml:space="preserve"> or calcium carbonate can be a antacid but here it is a calcium replacement </w:t>
      </w:r>
      <w:r>
        <w:t xml:space="preserve"> It is a supplement that is given to adults 51 years and </w:t>
      </w:r>
      <w:r>
        <w:lastRenderedPageBreak/>
        <w:t>older PO 1,000-1</w:t>
      </w:r>
      <w:r w:rsidR="00BF7440">
        <w:t>, 5000</w:t>
      </w:r>
      <w:r>
        <w:t xml:space="preserve"> mg/day</w:t>
      </w:r>
      <w:r w:rsidR="00BF7440">
        <w:t xml:space="preserve">. Zoledronic Acid, which is what Lillian is taking is a bone-resorption inhibitor; a potent inhibitor of osteoclasts bone resorption. If the patient has osteoporosis, the adult will receive the medication IV INF 5 mg over 15 minutes. The last medication, Raloxifene, or Evista, is also a bone resorption inhibitor. The action of Raloxifene is that it is </w:t>
      </w:r>
      <w:r w:rsidR="00CE7349">
        <w:t>tissue</w:t>
      </w:r>
      <w:r w:rsidR="00BF7440">
        <w:t>-selective estrogen agonist/</w:t>
      </w:r>
      <w:r w:rsidR="00CE7349">
        <w:t>antagonists</w:t>
      </w:r>
      <w:r w:rsidR="00BF7440">
        <w:t>. This medication is given PO 60 mg/day.</w:t>
      </w:r>
    </w:p>
    <w:p w:rsidR="00597EEB" w:rsidRDefault="00597EEB" w:rsidP="00597EEB">
      <w:pPr>
        <w:spacing w:line="480" w:lineRule="auto"/>
      </w:pPr>
    </w:p>
    <w:p w:rsidR="00BF7440" w:rsidRDefault="00BF7440" w:rsidP="00597EEB">
      <w:pPr>
        <w:spacing w:line="480" w:lineRule="auto"/>
      </w:pPr>
      <w:r>
        <w:t>6.</w:t>
      </w:r>
      <w:r w:rsidR="00CE7349" w:rsidRPr="00CE7349">
        <w:t xml:space="preserve"> </w:t>
      </w:r>
      <w:r w:rsidR="00CE7349">
        <w:t xml:space="preserve">The statement that indicated further teaching is </w:t>
      </w:r>
      <w:r w:rsidR="00CE7349" w:rsidRPr="00CE7349">
        <w:t xml:space="preserve">B – “Taking this med right before bedtime is recommended.” </w:t>
      </w:r>
      <w:r w:rsidR="00CE7349">
        <w:t xml:space="preserve">According to Skidmore-Roth (2012), </w:t>
      </w:r>
      <w:r w:rsidR="00CE7349" w:rsidRPr="00CE7349">
        <w:t xml:space="preserve">the patient must remain </w:t>
      </w:r>
      <w:r w:rsidR="00CE7349">
        <w:t xml:space="preserve">upright for 30 minutes after a dose of oral bisphosphonate, alendronate (Fosamax) </w:t>
      </w:r>
      <w:r w:rsidR="00CE7349" w:rsidRPr="00CE7349">
        <w:t xml:space="preserve">to prevent esophageal irritation. </w:t>
      </w:r>
    </w:p>
    <w:p w:rsidR="00996C8B" w:rsidRPr="00996C8B" w:rsidRDefault="00996C8B" w:rsidP="00597EEB">
      <w:pPr>
        <w:spacing w:line="480" w:lineRule="auto"/>
      </w:pPr>
      <w:r>
        <w:t xml:space="preserve">7. There are several ways to eliminate any potential home hazards that can possibly result in a fall or injury. Mauk (2010) provides the readers with a home safety checklist providing some of these ways. This list suggests removing throw rugs, removing low furniture, reducing clutter </w:t>
      </w:r>
      <w:r w:rsidRPr="00996C8B">
        <w:t>have adequat</w:t>
      </w:r>
      <w:r>
        <w:t xml:space="preserve">e lighting, install handrails, removing cords and wires, </w:t>
      </w:r>
      <w:r w:rsidRPr="00996C8B">
        <w:t>avoid</w:t>
      </w:r>
      <w:r>
        <w:t>ing</w:t>
      </w:r>
      <w:r w:rsidRPr="00996C8B">
        <w:t xml:space="preserve"> floor wax, install</w:t>
      </w:r>
      <w:r>
        <w:t>ing</w:t>
      </w:r>
      <w:r w:rsidRPr="00996C8B">
        <w:t xml:space="preserve"> grab bars in the tub or shower and </w:t>
      </w:r>
      <w:r>
        <w:t>also by the toilet, using</w:t>
      </w:r>
      <w:r w:rsidRPr="00996C8B">
        <w:t xml:space="preserve"> rubber mats in the tub or shower, install</w:t>
      </w:r>
      <w:r>
        <w:t>ing</w:t>
      </w:r>
      <w:r w:rsidRPr="00996C8B">
        <w:t xml:space="preserve"> a raised toilet seat, repair</w:t>
      </w:r>
      <w:r>
        <w:t>ing</w:t>
      </w:r>
      <w:r w:rsidRPr="00996C8B">
        <w:t xml:space="preserve"> cracked sidewalks, trim</w:t>
      </w:r>
      <w:r>
        <w:t>ming</w:t>
      </w:r>
      <w:r w:rsidRPr="00996C8B">
        <w:t xml:space="preserve"> shrubs in pathway, and install</w:t>
      </w:r>
      <w:r>
        <w:t>ing</w:t>
      </w:r>
      <w:r w:rsidRPr="00996C8B">
        <w:t xml:space="preserve"> adequate lighting by the doorways and along walkways</w:t>
      </w:r>
      <w:r>
        <w:t>.</w:t>
      </w:r>
      <w:r w:rsidRPr="00996C8B">
        <w:t xml:space="preserve"> These are some safety measures that</w:t>
      </w:r>
      <w:r>
        <w:t xml:space="preserve"> Violet can take to reduce her chances of having a fall or injury.</w:t>
      </w:r>
    </w:p>
    <w:p w:rsidR="00996C8B" w:rsidRPr="003B158C" w:rsidRDefault="00996C8B" w:rsidP="00597EEB">
      <w:pPr>
        <w:spacing w:line="480" w:lineRule="auto"/>
        <w:rPr>
          <w:color w:val="FF0000"/>
        </w:rPr>
      </w:pPr>
      <w:r>
        <w:t xml:space="preserve">8. </w:t>
      </w:r>
      <w:r w:rsidR="003B408C">
        <w:t>Osteoporosis has been identified as a national public health issue priority because it</w:t>
      </w:r>
      <w:r w:rsidR="00597EEB">
        <w:t xml:space="preserve"> is known as the silent epidemic killer. Although it is considered a natural part of aging (Mauk, 2010), there are many ways to prevent this disease from even occurring. It has become a national priority and problem that needs to be taken very seriously.</w:t>
      </w:r>
      <w:r w:rsidR="003B158C">
        <w:t xml:space="preserve"> </w:t>
      </w:r>
      <w:r w:rsidR="003B158C">
        <w:rPr>
          <w:color w:val="FF0000"/>
        </w:rPr>
        <w:t>It can also be because the Baby Boomers are coming of age and will cause a huge financial burden on our economy</w:t>
      </w:r>
    </w:p>
    <w:p w:rsidR="00597EEB" w:rsidRDefault="00597EEB" w:rsidP="00CE7349"/>
    <w:p w:rsidR="00597EEB" w:rsidRDefault="00597EEB" w:rsidP="00CE7349"/>
    <w:p w:rsidR="005D380E" w:rsidRDefault="005D380E" w:rsidP="00CE7349"/>
    <w:p w:rsidR="005D380E" w:rsidRDefault="005D380E" w:rsidP="00CE7349"/>
    <w:p w:rsidR="005D380E" w:rsidRDefault="005D380E" w:rsidP="00CE7349"/>
    <w:p w:rsidR="005D380E" w:rsidRDefault="005D380E" w:rsidP="00CE7349"/>
    <w:p w:rsidR="005D380E" w:rsidRDefault="005D380E" w:rsidP="00CE7349"/>
    <w:p w:rsidR="005D380E" w:rsidRDefault="005D380E" w:rsidP="00C10EBD">
      <w:pPr>
        <w:spacing w:line="480" w:lineRule="auto"/>
        <w:jc w:val="center"/>
      </w:pPr>
      <w:r>
        <w:t>Gerontology Case Study Week 6</w:t>
      </w:r>
    </w:p>
    <w:p w:rsidR="005D380E" w:rsidRPr="003B158C" w:rsidRDefault="005D380E" w:rsidP="00C10EBD">
      <w:pPr>
        <w:spacing w:line="480" w:lineRule="auto"/>
        <w:rPr>
          <w:color w:val="FF0000"/>
        </w:rPr>
      </w:pPr>
      <w:r>
        <w:t>1. There are many things in Mr. Adam Nightwolf’s history that is of great concern. Certain lab values should be taken very seriously as well. Mr. Adam Nightwolf is a 65 year old American Indian male living with his daughter. He has a history of angina and also smokes four cigarettes a day. His BMI is 28.6, which</w:t>
      </w:r>
      <w:r w:rsidR="007333E5">
        <w:t xml:space="preserve"> according to Mauk (2010)</w:t>
      </w:r>
      <w:r>
        <w:t xml:space="preserve"> is looked at as overweight, with a waist circumference of 40 inches, putting him at higher risk for disease. Mr. </w:t>
      </w:r>
      <w:r>
        <w:lastRenderedPageBreak/>
        <w:t xml:space="preserve">Nightwolf’s blood pressure is high at a 142/88 mmHg. His radial pulse measures a 2+ and his dorsalis pedis pulses measure a 1+. The lab results that should be of concern are the serum glucose of 180 mg/dl and a hemoglobin </w:t>
      </w:r>
      <w:proofErr w:type="gramStart"/>
      <w:r>
        <w:t>A1c</w:t>
      </w:r>
      <w:proofErr w:type="gramEnd"/>
      <w:r>
        <w:t xml:space="preserve"> of 8.3%. These findings are both elevated and shows poorly controlled diabetes which can lead to kidney disease and even death. Mr. Nightwolf’s BUN and creatinine levels are also slightly elevated and should be looked at twice. His high triglyceride levels put him at risk for a heart attack and a stroke. Overall, Mr. Nightwolf does not live a healthy lifestyle and changes need to be made.</w:t>
      </w:r>
      <w:r w:rsidR="003B158C">
        <w:t xml:space="preserve"> </w:t>
      </w:r>
      <w:r w:rsidR="003B158C">
        <w:rPr>
          <w:color w:val="FF0000"/>
        </w:rPr>
        <w:t>All of his labs should be of concern</w:t>
      </w:r>
    </w:p>
    <w:p w:rsidR="007333E5" w:rsidRDefault="005D380E" w:rsidP="00C10EBD">
      <w:pPr>
        <w:spacing w:line="480" w:lineRule="auto"/>
      </w:pPr>
      <w:r>
        <w:t xml:space="preserve">2. </w:t>
      </w:r>
      <w:r w:rsidR="007333E5">
        <w:t>According to Smith and Cotter (2008), age related cardiovascular changes include isolated systolic hypertension which means systolic BP is greater than 140 mmHg, and diastolic BP is greater than 90 mmHg. Mr. Nightwolf’s blood pressure of 142/88 puts him in the category of isolated systolic hypertension. Other age-related changes regarding Mr. Nightwolf include a stiffer chest wall with reduced compliance and decreased respiratory muscle strength.</w:t>
      </w:r>
      <w:r w:rsidR="003B158C">
        <w:t xml:space="preserve"> </w:t>
      </w:r>
    </w:p>
    <w:p w:rsidR="003B158C" w:rsidRPr="003B158C" w:rsidRDefault="003B158C" w:rsidP="003B158C">
      <w:pPr>
        <w:autoSpaceDE w:val="0"/>
        <w:autoSpaceDN w:val="0"/>
        <w:adjustRightInd w:val="0"/>
        <w:rPr>
          <w:rFonts w:ascii="ITCGaramondStd-Bk" w:hAnsi="ITCGaramondStd-Bk" w:cs="ITCGaramondStd-Bk"/>
          <w:color w:val="FF0000"/>
        </w:rPr>
      </w:pPr>
      <w:r w:rsidRPr="003B158C">
        <w:rPr>
          <w:color w:val="FF0000"/>
        </w:rPr>
        <w:t xml:space="preserve"> </w:t>
      </w:r>
      <w:r w:rsidRPr="003B158C">
        <w:rPr>
          <w:rFonts w:ascii="ITCGaramondStd-Bk" w:hAnsi="ITCGaramondStd-Bk" w:cs="ITCGaramondStd-Bk"/>
          <w:color w:val="FF0000"/>
        </w:rPr>
        <w:t xml:space="preserve">Age-Associated Cardiovascular Changes </w:t>
      </w:r>
      <w:r w:rsidRPr="003B158C">
        <w:rPr>
          <w:rFonts w:ascii="ITCGaramondStd-BkIta" w:hAnsi="ITCGaramondStd-BkIta" w:cs="ITCGaramondStd-BkIta"/>
          <w:i/>
          <w:iCs/>
          <w:color w:val="FF0000"/>
        </w:rPr>
        <w:t>Isolated systolic hypertension</w:t>
      </w:r>
      <w:r w:rsidRPr="003B158C">
        <w:rPr>
          <w:rFonts w:ascii="ITCGaramondStd-Bk" w:hAnsi="ITCGaramondStd-Bk" w:cs="ITCGaramondStd-Bk"/>
          <w:color w:val="FF0000"/>
        </w:rPr>
        <w:t xml:space="preserve">: systolic BP </w:t>
      </w:r>
      <w:r w:rsidRPr="003B158C">
        <w:rPr>
          <w:rFonts w:ascii="MathematicalPi-One" w:eastAsia="MathematicalPi-One" w:hAnsi="ITCGaramondStd-Bk" w:cs="MathematicalPi-One" w:hint="eastAsia"/>
          <w:color w:val="FF0000"/>
        </w:rPr>
        <w:t></w:t>
      </w:r>
      <w:r w:rsidRPr="003B158C">
        <w:rPr>
          <w:rFonts w:ascii="ITCGaramondStd-Bk" w:hAnsi="ITCGaramondStd-Bk" w:cs="ITCGaramondStd-Bk"/>
          <w:color w:val="FF0000"/>
        </w:rPr>
        <w:t xml:space="preserve">140 mmHg and diastolic BP </w:t>
      </w:r>
      <w:r w:rsidRPr="003B158C">
        <w:rPr>
          <w:rFonts w:ascii="MathematicalPi-One" w:eastAsia="MathematicalPi-One" w:hAnsi="ITCGaramondStd-Bk" w:cs="MathematicalPi-One" w:hint="eastAsia"/>
          <w:color w:val="FF0000"/>
        </w:rPr>
        <w:t></w:t>
      </w:r>
      <w:r w:rsidRPr="003B158C">
        <w:rPr>
          <w:rFonts w:ascii="ITCGaramondStd-Bk" w:hAnsi="ITCGaramondStd-Bk" w:cs="ITCGaramondStd-Bk"/>
          <w:color w:val="FF0000"/>
        </w:rPr>
        <w:t xml:space="preserve">90 mmHg. 1. Arterial wall thickening and stiffening, decreased compliance. 2. Left ventricular and </w:t>
      </w:r>
      <w:proofErr w:type="spellStart"/>
      <w:r w:rsidRPr="003B158C">
        <w:rPr>
          <w:rFonts w:ascii="ITCGaramondStd-Bk" w:hAnsi="ITCGaramondStd-Bk" w:cs="ITCGaramondStd-Bk"/>
          <w:color w:val="FF0000"/>
        </w:rPr>
        <w:t>atrial</w:t>
      </w:r>
      <w:proofErr w:type="spellEnd"/>
      <w:r w:rsidRPr="003B158C">
        <w:rPr>
          <w:rFonts w:ascii="ITCGaramondStd-Bk" w:hAnsi="ITCGaramondStd-Bk" w:cs="ITCGaramondStd-Bk"/>
          <w:color w:val="FF0000"/>
        </w:rPr>
        <w:t xml:space="preserve"> hypertrophy. 3. Sclerosis of </w:t>
      </w:r>
      <w:proofErr w:type="spellStart"/>
      <w:r w:rsidRPr="003B158C">
        <w:rPr>
          <w:rFonts w:ascii="ITCGaramondStd-Bk" w:hAnsi="ITCGaramondStd-Bk" w:cs="ITCGaramondStd-Bk"/>
          <w:color w:val="FF0000"/>
        </w:rPr>
        <w:t>atrial</w:t>
      </w:r>
      <w:proofErr w:type="spellEnd"/>
      <w:r w:rsidRPr="003B158C">
        <w:rPr>
          <w:rFonts w:ascii="ITCGaramondStd-Bk" w:hAnsi="ITCGaramondStd-Bk" w:cs="ITCGaramondStd-Bk"/>
          <w:color w:val="FF0000"/>
        </w:rPr>
        <w:t xml:space="preserve"> and mitral valves. </w:t>
      </w:r>
      <w:proofErr w:type="gramStart"/>
      <w:r w:rsidRPr="003B158C">
        <w:rPr>
          <w:rFonts w:ascii="ITCGaramondStd-Bk" w:hAnsi="ITCGaramondStd-Bk" w:cs="ITCGaramondStd-Bk"/>
          <w:color w:val="FF0000"/>
        </w:rPr>
        <w:t>Implications 1.</w:t>
      </w:r>
      <w:proofErr w:type="gramEnd"/>
      <w:r w:rsidRPr="003B158C">
        <w:rPr>
          <w:rFonts w:ascii="ITCGaramondStd-Bk" w:hAnsi="ITCGaramondStd-Bk" w:cs="ITCGaramondStd-Bk"/>
          <w:color w:val="FF0000"/>
        </w:rPr>
        <w:t xml:space="preserve"> </w:t>
      </w:r>
      <w:proofErr w:type="gramStart"/>
      <w:r w:rsidRPr="003B158C">
        <w:rPr>
          <w:rFonts w:ascii="ITCGaramondStd-Bk" w:hAnsi="ITCGaramondStd-Bk" w:cs="ITCGaramondStd-Bk"/>
          <w:color w:val="FF0000"/>
        </w:rPr>
        <w:t>Decreased cardiac reserve.</w:t>
      </w:r>
      <w:proofErr w:type="gramEnd"/>
      <w:r w:rsidRPr="003B158C">
        <w:rPr>
          <w:rFonts w:ascii="ITCGaramondStd-Bk" w:hAnsi="ITCGaramondStd-Bk" w:cs="ITCGaramondStd-Bk"/>
          <w:color w:val="FF0000"/>
        </w:rPr>
        <w:t xml:space="preserve"> </w:t>
      </w:r>
      <w:proofErr w:type="gramStart"/>
      <w:r w:rsidRPr="003B158C">
        <w:rPr>
          <w:rFonts w:ascii="ITCGaramondStd-Bk" w:hAnsi="ITCGaramondStd-Bk" w:cs="ITCGaramondStd-Bk"/>
          <w:color w:val="FF0000"/>
        </w:rPr>
        <w:t>a</w:t>
      </w:r>
      <w:proofErr w:type="gramEnd"/>
      <w:r w:rsidRPr="003B158C">
        <w:rPr>
          <w:rFonts w:ascii="ITCGaramondStd-Bk" w:hAnsi="ITCGaramondStd-Bk" w:cs="ITCGaramondStd-Bk"/>
          <w:color w:val="FF0000"/>
        </w:rPr>
        <w:t xml:space="preserve">. At rest: No change in heart rate, cardiac output. </w:t>
      </w:r>
      <w:proofErr w:type="gramStart"/>
      <w:r w:rsidRPr="003B158C">
        <w:rPr>
          <w:rFonts w:ascii="ITCGaramondStd-Bk" w:hAnsi="ITCGaramondStd-Bk" w:cs="ITCGaramondStd-Bk"/>
          <w:color w:val="FF0000"/>
        </w:rPr>
        <w:t>b</w:t>
      </w:r>
      <w:proofErr w:type="gramEnd"/>
      <w:r w:rsidRPr="003B158C">
        <w:rPr>
          <w:rFonts w:ascii="ITCGaramondStd-Bk" w:hAnsi="ITCGaramondStd-Bk" w:cs="ITCGaramondStd-Bk"/>
          <w:color w:val="FF0000"/>
        </w:rPr>
        <w:t>. Under physiological stress and exercise: Decreased maximal heart rate and</w:t>
      </w:r>
    </w:p>
    <w:p w:rsidR="003B158C" w:rsidRPr="003B158C" w:rsidRDefault="003B158C" w:rsidP="003B158C">
      <w:pPr>
        <w:autoSpaceDE w:val="0"/>
        <w:autoSpaceDN w:val="0"/>
        <w:adjustRightInd w:val="0"/>
        <w:rPr>
          <w:rFonts w:ascii="ITCGaramondStd-Bk" w:hAnsi="ITCGaramondStd-Bk" w:cs="ITCGaramondStd-Bk"/>
          <w:color w:val="FF0000"/>
        </w:rPr>
      </w:pPr>
      <w:proofErr w:type="gramStart"/>
      <w:r w:rsidRPr="003B158C">
        <w:rPr>
          <w:rFonts w:ascii="ITCGaramondStd-Bk" w:hAnsi="ITCGaramondStd-Bk" w:cs="ITCGaramondStd-Bk"/>
          <w:color w:val="FF0000"/>
        </w:rPr>
        <w:t>cardiac</w:t>
      </w:r>
      <w:proofErr w:type="gramEnd"/>
      <w:r w:rsidRPr="003B158C">
        <w:rPr>
          <w:rFonts w:ascii="ITCGaramondStd-Bk" w:hAnsi="ITCGaramondStd-Bk" w:cs="ITCGaramondStd-Bk"/>
          <w:color w:val="FF0000"/>
        </w:rPr>
        <w:t xml:space="preserve"> output, resulting in fatigue, SOB, slow recovery from tachycardia. 2. Risk of isolated systolic hypertension; inflamed varicosities. </w:t>
      </w:r>
      <w:proofErr w:type="gramStart"/>
      <w:r w:rsidRPr="003B158C">
        <w:rPr>
          <w:rFonts w:ascii="ITCGaramondStd-Bk" w:hAnsi="ITCGaramondStd-Bk" w:cs="ITCGaramondStd-Bk"/>
          <w:color w:val="FF0000"/>
        </w:rPr>
        <w:t>Risk of arrhythmias, postural, and diuretic-induced hypotension.</w:t>
      </w:r>
      <w:proofErr w:type="gramEnd"/>
      <w:r w:rsidRPr="003B158C">
        <w:rPr>
          <w:rFonts w:ascii="ITCGaramondStd-Bk" w:hAnsi="ITCGaramondStd-Bk" w:cs="ITCGaramondStd-Bk"/>
          <w:color w:val="FF0000"/>
        </w:rPr>
        <w:t xml:space="preserve"> </w:t>
      </w:r>
      <w:proofErr w:type="gramStart"/>
      <w:r w:rsidRPr="003B158C">
        <w:rPr>
          <w:rFonts w:ascii="ITCGaramondStd-Bk" w:hAnsi="ITCGaramondStd-Bk" w:cs="ITCGaramondStd-Bk"/>
          <w:color w:val="FF0000"/>
        </w:rPr>
        <w:t>May cause syncope.</w:t>
      </w:r>
      <w:proofErr w:type="gramEnd"/>
    </w:p>
    <w:p w:rsidR="003B158C" w:rsidRDefault="003B158C" w:rsidP="003B158C">
      <w:pPr>
        <w:spacing w:line="480" w:lineRule="auto"/>
        <w:rPr>
          <w:rFonts w:ascii="ITCGaramondStd-Bk" w:hAnsi="ITCGaramondStd-Bk" w:cs="ITCGaramondStd-Bk"/>
        </w:rPr>
      </w:pPr>
      <w:r w:rsidRPr="003B158C">
        <w:rPr>
          <w:rFonts w:ascii="ITCGaramondStd-Bk" w:hAnsi="ITCGaramondStd-Bk" w:cs="ITCGaramondStd-Bk"/>
          <w:b/>
          <w:color w:val="FF0000"/>
        </w:rPr>
        <w:t>Strong arterial pulses, diminished peripheral pulses, cool extremities</w:t>
      </w:r>
      <w:r>
        <w:rPr>
          <w:rFonts w:ascii="ITCGaramondStd-Bk" w:hAnsi="ITCGaramondStd-Bk" w:cs="ITCGaramondStd-Bk"/>
        </w:rPr>
        <w:t>.</w:t>
      </w:r>
    </w:p>
    <w:p w:rsidR="003B158C" w:rsidRDefault="003B158C" w:rsidP="003B158C">
      <w:pPr>
        <w:spacing w:line="480" w:lineRule="auto"/>
      </w:pPr>
    </w:p>
    <w:p w:rsidR="005F0397" w:rsidRDefault="007333E5" w:rsidP="00C10EBD">
      <w:pPr>
        <w:spacing w:line="480" w:lineRule="auto"/>
        <w:outlineLvl w:val="0"/>
      </w:pPr>
      <w:r>
        <w:t xml:space="preserve">3. There are several other tests that the nurses should consider. In Mr. Nightwolf’s case, these tests include his glucose levels; checking for possible diabetes. The nurse should also assess his dietary intake because lifestyle changes may need to take place in order to lose weight. </w:t>
      </w:r>
      <w:r w:rsidR="005F0397">
        <w:t>The nurse should also take Mr. Nightwolf’s pulse ox to make sure he is getting adequate amounts of oxygen seeing as he is short of breath just walking down the hallway.</w:t>
      </w:r>
    </w:p>
    <w:p w:rsidR="00C570E2" w:rsidRPr="00C570E2" w:rsidRDefault="00C570E2" w:rsidP="00C570E2">
      <w:pPr>
        <w:autoSpaceDE w:val="0"/>
        <w:autoSpaceDN w:val="0"/>
        <w:adjustRightInd w:val="0"/>
        <w:rPr>
          <w:rFonts w:ascii="ITCGaramondStd-Bk" w:hAnsi="ITCGaramondStd-Bk" w:cs="ITCGaramondStd-Bk"/>
          <w:color w:val="FF0000"/>
        </w:rPr>
      </w:pPr>
      <w:r>
        <w:t xml:space="preserve"> </w:t>
      </w:r>
      <w:r w:rsidRPr="00C570E2">
        <w:rPr>
          <w:rFonts w:ascii="ITCGaramondStd-Bk" w:hAnsi="ITCGaramondStd-Bk" w:cs="ITCGaramondStd-Bk"/>
          <w:color w:val="FF0000"/>
        </w:rPr>
        <w:t>Cardiac assessment: ECG; heart rate, rhythm, murmurs, heart sounds. Assess BP (lying, sitting, and standing) and pulse pressure. Palpate carotid artery and all peripheral pulses for symmetry</w:t>
      </w:r>
    </w:p>
    <w:p w:rsidR="00C570E2" w:rsidRDefault="00C570E2" w:rsidP="00C570E2">
      <w:pPr>
        <w:autoSpaceDE w:val="0"/>
        <w:autoSpaceDN w:val="0"/>
        <w:adjustRightInd w:val="0"/>
      </w:pPr>
    </w:p>
    <w:p w:rsidR="005F0397" w:rsidRDefault="005F0397" w:rsidP="00C10EBD">
      <w:pPr>
        <w:spacing w:line="480" w:lineRule="auto"/>
        <w:outlineLvl w:val="0"/>
      </w:pPr>
      <w:r>
        <w:t xml:space="preserve">4. According to the American Heart (2010) association, seeing as Mr. Nightwolf is of American Indian decent, this puts him at a greater risk for a cardiovascular event. This includes coronary heart disease, high blood pressure, stroke, and acute myocardial infarction. Also, obesity, which is the road Mr. Nightwolf is heading down, is associated with marked excess mortality in the United States population. Again, although Mr. Nightwolf’s race is nonmodifiable, his lifestyle is. </w:t>
      </w:r>
    </w:p>
    <w:p w:rsidR="00E71341" w:rsidRDefault="005F0397" w:rsidP="00C10EBD">
      <w:pPr>
        <w:spacing w:line="480" w:lineRule="auto"/>
        <w:outlineLvl w:val="0"/>
      </w:pPr>
      <w:r>
        <w:lastRenderedPageBreak/>
        <w:t xml:space="preserve">5.  There are many dietary changes Mr. Nightwolf can make to reduce the fat and salt in his diet. Some of these changes include limiting the amount of canned food he buys and trying to eat fresh foods instead. This would reduce the salt significantly. Also, Mr. Nightwolf can stop buying and eating frozen meals, because they too have a high </w:t>
      </w:r>
    </w:p>
    <w:p w:rsidR="005F0397" w:rsidRDefault="005F0397" w:rsidP="00C10EBD">
      <w:pPr>
        <w:spacing w:line="480" w:lineRule="auto"/>
        <w:outlineLvl w:val="0"/>
      </w:pPr>
      <w:proofErr w:type="gramStart"/>
      <w:r>
        <w:t>sodium</w:t>
      </w:r>
      <w:proofErr w:type="gramEnd"/>
      <w:r>
        <w:t xml:space="preserve"> count and fat intake. A good alternative would also to choose lean cut meats that are not fried. He should also avoid any fast-food take-out restaurants which pack their food with high sodium and of course, fat. Mr. Nightwolf can keep a dietary journal recording all he ate and the sodium and fat content of each product. It will take some time to get used to these changes, but in the long run, it is well worth it to avoid a possible stroke and/or MI.</w:t>
      </w:r>
    </w:p>
    <w:p w:rsidR="00C10EBD" w:rsidRDefault="005F0397" w:rsidP="00C10EBD">
      <w:pPr>
        <w:spacing w:line="480" w:lineRule="auto"/>
        <w:outlineLvl w:val="0"/>
      </w:pPr>
      <w:r>
        <w:t xml:space="preserve">6. It is a good sign that Mr. Nightwolf realizes his poor lifestyle and he wants to change things by beginning to exercise. Steve can be a coach to Mr. Nightwolf and assist him in his workouts. Steve could tell Mr. Nightwolf to take it easy at first, since it will not be a breeze at first. They can both start out by walking around the neighborhood for about 20-30 minutes a day, or whatever Mr. Nightwolf can handle. </w:t>
      </w:r>
      <w:r w:rsidR="00C10EBD">
        <w:t>It is best to start easy and build yourself up.</w:t>
      </w:r>
    </w:p>
    <w:p w:rsidR="00C10EBD" w:rsidRDefault="00C10EBD" w:rsidP="00C10EBD">
      <w:pPr>
        <w:spacing w:line="480" w:lineRule="auto"/>
        <w:outlineLvl w:val="0"/>
      </w:pPr>
      <w:r>
        <w:t xml:space="preserve">7. After returning to the clinic 3 months later, a few lab studies showed significant changes for Mr. Nightwolf. These changes include lower LDL’s which means that his bad cholesterol is lowering; probably due to dietary changes and exercise. His BUN and creatinine levels have also dropped making them not a concern for the nurse anymore. </w:t>
      </w:r>
    </w:p>
    <w:p w:rsidR="00E71341" w:rsidRDefault="00C10EBD" w:rsidP="00C10EBD">
      <w:pPr>
        <w:spacing w:line="480" w:lineRule="auto"/>
        <w:outlineLvl w:val="0"/>
      </w:pPr>
      <w:r>
        <w:t xml:space="preserve">8. According to the American Heart Association and American Stroke Association (2012), “Life’s Simple 7” include: getting active, controlling cholesterol, eating better, managing blood pressure, losing weight, reducing blood sugar, and stop smoking. The American Heart/Stroke Association (2012) tells us that at least 30 minutes of moderate physical activity each day, such as brisk walking, five times a week can guarantee a healthier and more satisfying life all the while lowering your risk for heart disease, stroke, and even diabetes. Controlling cholesterol is not always an easy task, but it can be done. A total cholesterol level should be below 200, if it is not, action must be taken. Exercising is a proven way to lower cholesterol. Eating healthy is a must, so why doesn’t everyone do it? Eating better includes foods lower in saturated fats, </w:t>
      </w:r>
      <w:proofErr w:type="gramStart"/>
      <w:r>
        <w:t>trans</w:t>
      </w:r>
      <w:proofErr w:type="gramEnd"/>
      <w:r>
        <w:t xml:space="preserve"> fats, cholesterol, sodium, and added sugars. A good way to eat healthier is including foods high in fiber, lean protein, and a large variety of colorful fruits and vegetables. High blood pressure is the most significant factor for heart disease although it is very manageable. Ways to lower your blood pressure and avoid hypertension include eating a heart-healthy diet, which includes reducing sodium, enjoying regular exercise to maintain adequate weight, and also to manage stress and limiting alcohol and avoiding use of tobacco. Losing weight is another healthy life-style choice and should be considered if you are overweight or on the road to be. According to the American Heart/Stroke Association (2012), a BMI of 30.0 and over puts people at a </w:t>
      </w:r>
      <w:r>
        <w:lastRenderedPageBreak/>
        <w:t xml:space="preserve">greater risk of heart disease. Losing weight can lower these risks greatly. Having a high blood sugar </w:t>
      </w:r>
      <w:proofErr w:type="spellStart"/>
      <w:r>
        <w:t>can</w:t>
      </w:r>
      <w:proofErr w:type="spellEnd"/>
      <w:r>
        <w:t xml:space="preserve"> quicken up the onset of diabetes, which everyone knows is not a good thing. A healthy blood sugar range is below 100, this means you are in the healthy range. The last of the Simple 7 includes stop smoking. Smoking truly leads to every </w:t>
      </w:r>
    </w:p>
    <w:p w:rsidR="00597EEB" w:rsidRDefault="00C10EBD" w:rsidP="00C10EBD">
      <w:pPr>
        <w:spacing w:line="480" w:lineRule="auto"/>
        <w:outlineLvl w:val="0"/>
      </w:pPr>
      <w:proofErr w:type="gramStart"/>
      <w:r>
        <w:t>disease</w:t>
      </w:r>
      <w:proofErr w:type="gramEnd"/>
      <w:r>
        <w:t xml:space="preserve"> known to man-kind. Cigarette smokers have a greater risk of developing cardiovascular disease and one of our nation’s top risks for an early death. Following “Life’s Simple 7” is a greater way to become healthier and life a longer, better life. </w:t>
      </w:r>
    </w:p>
    <w:p w:rsidR="00C10EBD" w:rsidRDefault="00C10EBD" w:rsidP="00C10EBD">
      <w:pPr>
        <w:outlineLvl w:val="0"/>
      </w:pPr>
    </w:p>
    <w:p w:rsidR="00C10EBD" w:rsidRDefault="00C10EBD" w:rsidP="00C10EBD">
      <w:pPr>
        <w:outlineLvl w:val="0"/>
      </w:pPr>
    </w:p>
    <w:p w:rsidR="00597EEB" w:rsidRDefault="00597EEB" w:rsidP="00C10EBD">
      <w:pP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pPr>
    </w:p>
    <w:p w:rsidR="00597EEB" w:rsidRDefault="00597EEB" w:rsidP="00597EEB">
      <w:pPr>
        <w:jc w:val="center"/>
        <w:outlineLvl w:val="0"/>
        <w:sectPr w:rsidR="00597EEB" w:rsidSect="00597EEB">
          <w:headerReference w:type="first" r:id="rId8"/>
          <w:pgSz w:w="12240" w:h="15840"/>
          <w:pgMar w:top="1440" w:right="1440" w:bottom="1440" w:left="1440" w:header="720" w:footer="720" w:gutter="0"/>
          <w:cols w:space="720"/>
          <w:titlePg/>
          <w:docGrid w:linePitch="360"/>
        </w:sectPr>
      </w:pPr>
    </w:p>
    <w:p w:rsidR="00597EEB" w:rsidRDefault="00597EEB" w:rsidP="00542EFB">
      <w:pPr>
        <w:spacing w:line="480" w:lineRule="auto"/>
        <w:jc w:val="center"/>
        <w:outlineLvl w:val="0"/>
      </w:pPr>
      <w:r>
        <w:lastRenderedPageBreak/>
        <w:t>References</w:t>
      </w:r>
    </w:p>
    <w:p w:rsidR="00606499" w:rsidRDefault="00606499" w:rsidP="00606499">
      <w:pPr>
        <w:spacing w:line="480" w:lineRule="auto"/>
        <w:outlineLvl w:val="0"/>
      </w:pPr>
      <w:proofErr w:type="gramStart"/>
      <w:r w:rsidRPr="00606499">
        <w:rPr>
          <w:i/>
        </w:rPr>
        <w:t>American Indians/Alaska natives and cardiovascular diseases-Statistics</w:t>
      </w:r>
      <w:r>
        <w:t>.</w:t>
      </w:r>
      <w:proofErr w:type="gramEnd"/>
      <w:r>
        <w:t xml:space="preserve"> </w:t>
      </w:r>
      <w:proofErr w:type="gramStart"/>
      <w:r>
        <w:t xml:space="preserve">(2010). </w:t>
      </w:r>
      <w:commentRangeStart w:id="0"/>
      <w:r>
        <w:t>American Heart Association.</w:t>
      </w:r>
      <w:commentRangeEnd w:id="0"/>
      <w:proofErr w:type="gramEnd"/>
      <w:r w:rsidR="00C570E2">
        <w:rPr>
          <w:rStyle w:val="CommentReference"/>
        </w:rPr>
        <w:commentReference w:id="0"/>
      </w:r>
    </w:p>
    <w:p w:rsidR="00606499" w:rsidRDefault="00606499" w:rsidP="00606499">
      <w:pPr>
        <w:spacing w:line="480" w:lineRule="auto"/>
        <w:outlineLvl w:val="0"/>
      </w:pPr>
      <w:r>
        <w:tab/>
        <w:t xml:space="preserve">Retrieved from </w:t>
      </w:r>
      <w:hyperlink r:id="rId10" w:history="1">
        <w:r w:rsidRPr="00754597">
          <w:rPr>
            <w:rStyle w:val="Hyperlink"/>
          </w:rPr>
          <w:t>http://www.americanheart.org/presenter.jhtml?identifier=3000929</w:t>
        </w:r>
      </w:hyperlink>
      <w:r>
        <w:t xml:space="preserve"> </w:t>
      </w:r>
    </w:p>
    <w:p w:rsidR="00606499" w:rsidRDefault="00606499" w:rsidP="00606499">
      <w:pPr>
        <w:spacing w:line="480" w:lineRule="auto"/>
        <w:outlineLvl w:val="0"/>
      </w:pPr>
      <w:r w:rsidRPr="00606499">
        <w:rPr>
          <w:i/>
        </w:rPr>
        <w:t>Life’s Simple 7</w:t>
      </w:r>
      <w:r>
        <w:t xml:space="preserve">. </w:t>
      </w:r>
      <w:proofErr w:type="gramStart"/>
      <w:r>
        <w:t>(2010). American Heart Association.</w:t>
      </w:r>
      <w:proofErr w:type="gramEnd"/>
      <w:r>
        <w:t xml:space="preserve"> Retrieved from </w:t>
      </w:r>
    </w:p>
    <w:p w:rsidR="00606499" w:rsidRDefault="00606499" w:rsidP="00606499">
      <w:pPr>
        <w:spacing w:line="480" w:lineRule="auto"/>
        <w:outlineLvl w:val="0"/>
      </w:pPr>
      <w:r>
        <w:tab/>
      </w:r>
      <w:hyperlink r:id="rId11" w:history="1">
        <w:r w:rsidRPr="00754597">
          <w:rPr>
            <w:rStyle w:val="Hyperlink"/>
          </w:rPr>
          <w:t>http://mylifecheck.heart.org/Multitab.aspx?NavID=14&amp;CultureCode=en-US</w:t>
        </w:r>
      </w:hyperlink>
      <w:r>
        <w:t xml:space="preserve"> </w:t>
      </w:r>
    </w:p>
    <w:p w:rsidR="00597EEB" w:rsidRDefault="00597EEB" w:rsidP="00542EFB">
      <w:pPr>
        <w:pStyle w:val="NoSpacing"/>
        <w:spacing w:line="480" w:lineRule="auto"/>
        <w:rPr>
          <w:rFonts w:ascii="Times New Roman" w:hAnsi="Times New Roman" w:cs="Times New Roman"/>
          <w:sz w:val="20"/>
          <w:szCs w:val="20"/>
        </w:rPr>
      </w:pPr>
      <w:r w:rsidRPr="005E0ECB">
        <w:rPr>
          <w:rFonts w:ascii="Times New Roman" w:hAnsi="Times New Roman" w:cs="Times New Roman"/>
          <w:sz w:val="20"/>
          <w:szCs w:val="20"/>
        </w:rPr>
        <w:t xml:space="preserve">Mauk, K.L. (2010). </w:t>
      </w:r>
      <w:proofErr w:type="gramStart"/>
      <w:r w:rsidRPr="005E0ECB">
        <w:rPr>
          <w:rFonts w:ascii="Times New Roman" w:hAnsi="Times New Roman" w:cs="Times New Roman"/>
          <w:i/>
          <w:sz w:val="20"/>
          <w:szCs w:val="20"/>
        </w:rPr>
        <w:t xml:space="preserve">Gerontological </w:t>
      </w:r>
      <w:r w:rsidRPr="005E0ECB">
        <w:rPr>
          <w:rFonts w:ascii="Times New Roman" w:hAnsi="Times New Roman" w:cs="Times New Roman"/>
          <w:sz w:val="20"/>
          <w:szCs w:val="20"/>
        </w:rPr>
        <w:t xml:space="preserve"> </w:t>
      </w:r>
      <w:r w:rsidRPr="005E0ECB">
        <w:rPr>
          <w:rFonts w:ascii="Times New Roman" w:hAnsi="Times New Roman" w:cs="Times New Roman"/>
          <w:i/>
          <w:sz w:val="20"/>
          <w:szCs w:val="20"/>
        </w:rPr>
        <w:t>nursing</w:t>
      </w:r>
      <w:proofErr w:type="gramEnd"/>
      <w:r w:rsidRPr="005E0ECB">
        <w:rPr>
          <w:rFonts w:ascii="Times New Roman" w:hAnsi="Times New Roman" w:cs="Times New Roman"/>
          <w:i/>
          <w:sz w:val="20"/>
          <w:szCs w:val="20"/>
        </w:rPr>
        <w:t>: competencies for care</w:t>
      </w:r>
      <w:r w:rsidRPr="005E0ECB">
        <w:rPr>
          <w:rFonts w:ascii="Times New Roman" w:hAnsi="Times New Roman" w:cs="Times New Roman"/>
          <w:sz w:val="20"/>
          <w:szCs w:val="20"/>
        </w:rPr>
        <w:t xml:space="preserve"> (2</w:t>
      </w:r>
      <w:r w:rsidRPr="005E0ECB">
        <w:rPr>
          <w:rFonts w:ascii="Times New Roman" w:hAnsi="Times New Roman" w:cs="Times New Roman"/>
          <w:sz w:val="20"/>
          <w:szCs w:val="20"/>
          <w:vertAlign w:val="superscript"/>
        </w:rPr>
        <w:t>nd</w:t>
      </w:r>
      <w:r w:rsidRPr="005E0ECB">
        <w:rPr>
          <w:rFonts w:ascii="Times New Roman" w:hAnsi="Times New Roman" w:cs="Times New Roman"/>
          <w:sz w:val="20"/>
          <w:szCs w:val="20"/>
        </w:rPr>
        <w:t xml:space="preserve"> ed.)  Boston: </w:t>
      </w:r>
      <w:r>
        <w:rPr>
          <w:rFonts w:ascii="Times New Roman" w:hAnsi="Times New Roman" w:cs="Times New Roman"/>
          <w:sz w:val="20"/>
          <w:szCs w:val="20"/>
        </w:rPr>
        <w:t xml:space="preserve"> </w:t>
      </w:r>
      <w:r w:rsidRPr="005E0ECB">
        <w:rPr>
          <w:rFonts w:ascii="Times New Roman" w:hAnsi="Times New Roman" w:cs="Times New Roman"/>
          <w:sz w:val="20"/>
          <w:szCs w:val="20"/>
        </w:rPr>
        <w:t xml:space="preserve">Jones &amp; Bartlett. </w:t>
      </w:r>
    </w:p>
    <w:p w:rsidR="00597EEB" w:rsidRDefault="00597EEB" w:rsidP="00542EFB">
      <w:pPr>
        <w:pStyle w:val="NoSpacing"/>
        <w:spacing w:line="480" w:lineRule="auto"/>
        <w:rPr>
          <w:rFonts w:ascii="Times New Roman" w:hAnsi="Times New Roman" w:cs="Times New Roman"/>
          <w:sz w:val="20"/>
          <w:szCs w:val="20"/>
        </w:rPr>
      </w:pPr>
      <w:proofErr w:type="gramStart"/>
      <w:r>
        <w:rPr>
          <w:rFonts w:ascii="Times New Roman" w:hAnsi="Times New Roman" w:cs="Times New Roman"/>
          <w:sz w:val="20"/>
          <w:szCs w:val="20"/>
        </w:rPr>
        <w:t>National Osteoporosis Foundation.</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(2008). </w:t>
      </w:r>
      <w:r>
        <w:rPr>
          <w:rFonts w:ascii="Times New Roman" w:hAnsi="Times New Roman" w:cs="Times New Roman"/>
          <w:i/>
          <w:sz w:val="20"/>
          <w:szCs w:val="20"/>
        </w:rPr>
        <w:t>Prevention</w:t>
      </w:r>
      <w:r>
        <w:rPr>
          <w:rFonts w:ascii="Times New Roman" w:hAnsi="Times New Roman" w:cs="Times New Roman"/>
          <w:sz w:val="20"/>
          <w:szCs w:val="20"/>
        </w:rPr>
        <w:t>.</w:t>
      </w:r>
      <w:proofErr w:type="gramEnd"/>
      <w:r>
        <w:rPr>
          <w:rFonts w:ascii="Times New Roman" w:hAnsi="Times New Roman" w:cs="Times New Roman"/>
          <w:sz w:val="20"/>
          <w:szCs w:val="20"/>
        </w:rPr>
        <w:t xml:space="preserve"> Retrieved from </w:t>
      </w:r>
    </w:p>
    <w:p w:rsidR="00597EEB" w:rsidRPr="00542EFB" w:rsidRDefault="00597EEB" w:rsidP="00542EFB">
      <w:pPr>
        <w:pStyle w:val="NoSpacing"/>
        <w:spacing w:line="480" w:lineRule="auto"/>
        <w:rPr>
          <w:rFonts w:ascii="Times New Roman" w:hAnsi="Times New Roman" w:cs="Times New Roman"/>
          <w:sz w:val="20"/>
          <w:szCs w:val="20"/>
        </w:rPr>
      </w:pPr>
      <w:r>
        <w:rPr>
          <w:rFonts w:ascii="Times New Roman" w:hAnsi="Times New Roman" w:cs="Times New Roman"/>
          <w:sz w:val="20"/>
          <w:szCs w:val="20"/>
        </w:rPr>
        <w:tab/>
      </w:r>
      <w:hyperlink r:id="rId12" w:history="1">
        <w:r w:rsidRPr="00B20107">
          <w:rPr>
            <w:rStyle w:val="Hyperlink"/>
            <w:rFonts w:ascii="Times New Roman" w:hAnsi="Times New Roman" w:cs="Times New Roman"/>
            <w:sz w:val="20"/>
            <w:szCs w:val="20"/>
          </w:rPr>
          <w:t>http://www.nof.org/aboutosteoporosis/bonebasics/riskfactors</w:t>
        </w:r>
      </w:hyperlink>
      <w:r>
        <w:rPr>
          <w:rFonts w:ascii="Times New Roman" w:hAnsi="Times New Roman" w:cs="Times New Roman"/>
          <w:sz w:val="20"/>
          <w:szCs w:val="20"/>
        </w:rPr>
        <w:t xml:space="preserve"> </w:t>
      </w:r>
    </w:p>
    <w:p w:rsidR="00597EEB" w:rsidRDefault="00597EEB" w:rsidP="00542EFB">
      <w:pPr>
        <w:spacing w:line="480" w:lineRule="auto"/>
        <w:outlineLvl w:val="0"/>
      </w:pPr>
      <w:r>
        <w:t xml:space="preserve">RadiologyInfo.org. (2011, May 24). </w:t>
      </w:r>
      <w:r w:rsidRPr="00A85B29">
        <w:rPr>
          <w:i/>
        </w:rPr>
        <w:t>Bone Density Scan.</w:t>
      </w:r>
      <w:r>
        <w:t xml:space="preserve"> </w:t>
      </w:r>
      <w:proofErr w:type="gramStart"/>
      <w:r>
        <w:t xml:space="preserve">Retrieved </w:t>
      </w:r>
      <w:commentRangeStart w:id="1"/>
      <w:r>
        <w:t>February 24, 2012.</w:t>
      </w:r>
      <w:proofErr w:type="gramEnd"/>
      <w:r>
        <w:t xml:space="preserve"> </w:t>
      </w:r>
      <w:commentRangeEnd w:id="1"/>
      <w:r w:rsidR="00C570E2">
        <w:rPr>
          <w:rStyle w:val="CommentReference"/>
        </w:rPr>
        <w:commentReference w:id="1"/>
      </w:r>
    </w:p>
    <w:p w:rsidR="00542EFB" w:rsidRDefault="00F22B15" w:rsidP="00542EFB">
      <w:pPr>
        <w:spacing w:line="480" w:lineRule="auto"/>
        <w:ind w:firstLine="720"/>
        <w:outlineLvl w:val="0"/>
      </w:pPr>
      <w:hyperlink r:id="rId13" w:anchor="top" w:history="1">
        <w:r w:rsidR="00597EEB" w:rsidRPr="00971CF2">
          <w:rPr>
            <w:rStyle w:val="Hyperlink"/>
          </w:rPr>
          <w:t>http://www.radiologyinfo.org/en/info.cfm?pg=dexa#top</w:t>
        </w:r>
      </w:hyperlink>
      <w:r w:rsidR="00597EEB">
        <w:t xml:space="preserve"> </w:t>
      </w:r>
    </w:p>
    <w:p w:rsidR="00542EFB" w:rsidRDefault="00542EFB" w:rsidP="00542EFB">
      <w:pPr>
        <w:spacing w:line="480" w:lineRule="auto"/>
        <w:outlineLvl w:val="0"/>
      </w:pPr>
      <w:r>
        <w:t xml:space="preserve">Skidmore-Roth, L. (2012). </w:t>
      </w:r>
      <w:proofErr w:type="gramStart"/>
      <w:r>
        <w:rPr>
          <w:i/>
        </w:rPr>
        <w:t xml:space="preserve">Mosby’s 2012 nursing drug </w:t>
      </w:r>
      <w:commentRangeStart w:id="2"/>
      <w:r>
        <w:rPr>
          <w:i/>
        </w:rPr>
        <w:t>r</w:t>
      </w:r>
      <w:r w:rsidRPr="003D43C7">
        <w:rPr>
          <w:i/>
        </w:rPr>
        <w:t>eference</w:t>
      </w:r>
      <w:commentRangeEnd w:id="2"/>
      <w:r w:rsidR="00C570E2">
        <w:rPr>
          <w:rStyle w:val="CommentReference"/>
        </w:rPr>
        <w:commentReference w:id="2"/>
      </w:r>
      <w:r w:rsidRPr="003D43C7">
        <w:rPr>
          <w:i/>
        </w:rPr>
        <w:t>.</w:t>
      </w:r>
      <w:proofErr w:type="gramEnd"/>
      <w:r>
        <w:t xml:space="preserve"> St. Louis, MO: Elsevier </w:t>
      </w:r>
    </w:p>
    <w:p w:rsidR="00542EFB" w:rsidRPr="00C570E2" w:rsidRDefault="00542EFB" w:rsidP="00542EFB">
      <w:pPr>
        <w:spacing w:line="480" w:lineRule="auto"/>
        <w:outlineLvl w:val="0"/>
        <w:rPr>
          <w:color w:val="FF0000"/>
        </w:rPr>
      </w:pPr>
      <w:r>
        <w:tab/>
        <w:t>Mosby</w:t>
      </w:r>
      <w:r w:rsidR="00C570E2">
        <w:rPr>
          <w:color w:val="FF0000"/>
        </w:rPr>
        <w:t>.</w:t>
      </w:r>
    </w:p>
    <w:p w:rsidR="00542EFB" w:rsidRPr="003867F9" w:rsidRDefault="00542EFB" w:rsidP="00542EFB">
      <w:pPr>
        <w:outlineLvl w:val="0"/>
      </w:pPr>
    </w:p>
    <w:p w:rsidR="00597EEB" w:rsidRDefault="00597EEB"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p w:rsidR="00BE4F4F" w:rsidRDefault="00BE4F4F" w:rsidP="00CE7349"/>
    <w:sectPr w:rsidR="00BE4F4F" w:rsidSect="00597EEB">
      <w:headerReference w:type="first" r:id="rId14"/>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5:34:00Z" w:initials="M">
    <w:p w:rsidR="00C570E2" w:rsidRDefault="00C570E2">
      <w:pPr>
        <w:pStyle w:val="CommentText"/>
      </w:pPr>
      <w:r>
        <w:rPr>
          <w:rStyle w:val="CommentReference"/>
        </w:rPr>
        <w:annotationRef/>
      </w:r>
      <w:r>
        <w:t>This is the author and should be first</w:t>
      </w:r>
    </w:p>
  </w:comment>
  <w:comment w:id="1" w:author="Mary" w:date="2012-03-11T15:35:00Z" w:initials="M">
    <w:p w:rsidR="00C570E2" w:rsidRDefault="00C570E2">
      <w:pPr>
        <w:pStyle w:val="CommentText"/>
      </w:pPr>
      <w:r>
        <w:rPr>
          <w:rStyle w:val="CommentReference"/>
        </w:rPr>
        <w:annotationRef/>
      </w:r>
      <w:r>
        <w:t>Do not use retrieval dates</w:t>
      </w:r>
    </w:p>
  </w:comment>
  <w:comment w:id="2" w:author="Mary" w:date="2012-03-11T15:35:00Z" w:initials="M">
    <w:p w:rsidR="00C570E2" w:rsidRDefault="00C570E2">
      <w:pPr>
        <w:pStyle w:val="CommentText"/>
      </w:pPr>
      <w:r>
        <w:rPr>
          <w:rStyle w:val="CommentReference"/>
        </w:rPr>
        <w:annotationRef/>
      </w:r>
      <w:r>
        <w:t>Is there an 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CA5" w:rsidRDefault="00C16CA5" w:rsidP="00597EEB">
      <w:r>
        <w:separator/>
      </w:r>
    </w:p>
  </w:endnote>
  <w:endnote w:type="continuationSeparator" w:id="0">
    <w:p w:rsidR="00C16CA5" w:rsidRDefault="00C16CA5" w:rsidP="00597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CA5" w:rsidRDefault="00C16CA5" w:rsidP="00597EEB">
      <w:r>
        <w:separator/>
      </w:r>
    </w:p>
  </w:footnote>
  <w:footnote w:type="continuationSeparator" w:id="0">
    <w:p w:rsidR="00C16CA5" w:rsidRDefault="00C16CA5" w:rsidP="00597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341" w:rsidRDefault="00E71341">
    <w:pPr>
      <w:pStyle w:val="Header"/>
    </w:pPr>
    <w:r>
      <w:t>GERONTOLOGY CASE STUDY WEEK 6</w:t>
    </w:r>
    <w:r>
      <w:tab/>
    </w:r>
    <w:r>
      <w:tab/>
    </w:r>
    <w:r>
      <w:tab/>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EB" w:rsidRDefault="00597EEB">
    <w:pPr>
      <w:pStyle w:val="Header"/>
    </w:pPr>
    <w:r>
      <w:t>G</w:t>
    </w:r>
    <w:r w:rsidR="00E71341">
      <w:t>ERONTOLOGY CASE STUDY WEEK 6</w:t>
    </w:r>
    <w:r w:rsidR="00E71341">
      <w:tab/>
    </w:r>
    <w:r w:rsidR="00E71341">
      <w:tab/>
    </w:r>
    <w:r w:rsidR="00E71341">
      <w:tab/>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23BFF"/>
    <w:multiLevelType w:val="hybridMultilevel"/>
    <w:tmpl w:val="1032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2186B"/>
    <w:multiLevelType w:val="multilevel"/>
    <w:tmpl w:val="C92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AC1996"/>
    <w:multiLevelType w:val="hybridMultilevel"/>
    <w:tmpl w:val="D160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979BD"/>
    <w:rsid w:val="00024ADA"/>
    <w:rsid w:val="00054746"/>
    <w:rsid w:val="00060AC0"/>
    <w:rsid w:val="000F7258"/>
    <w:rsid w:val="001979BD"/>
    <w:rsid w:val="001E0E8D"/>
    <w:rsid w:val="002B48EB"/>
    <w:rsid w:val="00354B70"/>
    <w:rsid w:val="003B158C"/>
    <w:rsid w:val="003B408C"/>
    <w:rsid w:val="00542EFB"/>
    <w:rsid w:val="00597EEB"/>
    <w:rsid w:val="005D380E"/>
    <w:rsid w:val="005E0ECB"/>
    <w:rsid w:val="005F0397"/>
    <w:rsid w:val="00606499"/>
    <w:rsid w:val="00626548"/>
    <w:rsid w:val="00663F52"/>
    <w:rsid w:val="006C6869"/>
    <w:rsid w:val="007333E5"/>
    <w:rsid w:val="00757DDA"/>
    <w:rsid w:val="00856404"/>
    <w:rsid w:val="008853B4"/>
    <w:rsid w:val="00886FBF"/>
    <w:rsid w:val="00996C8B"/>
    <w:rsid w:val="00BA326C"/>
    <w:rsid w:val="00BE4F4F"/>
    <w:rsid w:val="00BF7440"/>
    <w:rsid w:val="00C10EBD"/>
    <w:rsid w:val="00C16CA5"/>
    <w:rsid w:val="00C570E2"/>
    <w:rsid w:val="00C72005"/>
    <w:rsid w:val="00CE7349"/>
    <w:rsid w:val="00D25863"/>
    <w:rsid w:val="00D65B77"/>
    <w:rsid w:val="00E66F7B"/>
    <w:rsid w:val="00E71341"/>
    <w:rsid w:val="00F22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Palatino Linotyp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ECB"/>
    <w:rPr>
      <w:color w:val="0000FF" w:themeColor="hyperlink"/>
      <w:u w:val="single"/>
    </w:rPr>
  </w:style>
  <w:style w:type="paragraph" w:styleId="NoSpacing">
    <w:name w:val="No Spacing"/>
    <w:uiPriority w:val="1"/>
    <w:qFormat/>
    <w:rsid w:val="005E0ECB"/>
    <w:rPr>
      <w:rFonts w:asciiTheme="minorHAnsi" w:hAnsiTheme="minorHAnsi" w:cstheme="minorBidi"/>
      <w:sz w:val="22"/>
      <w:szCs w:val="22"/>
    </w:rPr>
  </w:style>
  <w:style w:type="paragraph" w:styleId="ListParagraph">
    <w:name w:val="List Paragraph"/>
    <w:basedOn w:val="Normal"/>
    <w:uiPriority w:val="34"/>
    <w:qFormat/>
    <w:rsid w:val="00CE7349"/>
    <w:pPr>
      <w:ind w:left="720"/>
      <w:contextualSpacing/>
    </w:pPr>
    <w:rPr>
      <w:rFonts w:asciiTheme="minorHAnsi" w:hAnsiTheme="minorHAnsi" w:cstheme="minorBidi"/>
      <w:sz w:val="24"/>
      <w:szCs w:val="24"/>
    </w:rPr>
  </w:style>
  <w:style w:type="paragraph" w:styleId="Header">
    <w:name w:val="header"/>
    <w:basedOn w:val="Normal"/>
    <w:link w:val="HeaderChar"/>
    <w:uiPriority w:val="99"/>
    <w:semiHidden/>
    <w:unhideWhenUsed/>
    <w:rsid w:val="00597EEB"/>
    <w:pPr>
      <w:tabs>
        <w:tab w:val="center" w:pos="4680"/>
        <w:tab w:val="right" w:pos="9360"/>
      </w:tabs>
    </w:pPr>
  </w:style>
  <w:style w:type="character" w:customStyle="1" w:styleId="HeaderChar">
    <w:name w:val="Header Char"/>
    <w:basedOn w:val="DefaultParagraphFont"/>
    <w:link w:val="Header"/>
    <w:uiPriority w:val="99"/>
    <w:semiHidden/>
    <w:rsid w:val="00597EEB"/>
  </w:style>
  <w:style w:type="paragraph" w:styleId="Footer">
    <w:name w:val="footer"/>
    <w:basedOn w:val="Normal"/>
    <w:link w:val="FooterChar"/>
    <w:uiPriority w:val="99"/>
    <w:semiHidden/>
    <w:unhideWhenUsed/>
    <w:rsid w:val="00597EEB"/>
    <w:pPr>
      <w:tabs>
        <w:tab w:val="center" w:pos="4680"/>
        <w:tab w:val="right" w:pos="9360"/>
      </w:tabs>
    </w:pPr>
  </w:style>
  <w:style w:type="character" w:customStyle="1" w:styleId="FooterChar">
    <w:name w:val="Footer Char"/>
    <w:basedOn w:val="DefaultParagraphFont"/>
    <w:link w:val="Footer"/>
    <w:uiPriority w:val="99"/>
    <w:semiHidden/>
    <w:rsid w:val="00597EEB"/>
  </w:style>
  <w:style w:type="paragraph" w:styleId="NormalWeb">
    <w:name w:val="Normal (Web)"/>
    <w:basedOn w:val="Normal"/>
    <w:uiPriority w:val="99"/>
    <w:semiHidden/>
    <w:unhideWhenUsed/>
    <w:rsid w:val="00C10EBD"/>
    <w:pPr>
      <w:spacing w:after="201" w:line="268" w:lineRule="atLeast"/>
    </w:pPr>
    <w:rPr>
      <w:rFonts w:eastAsia="Times New Roman" w:cs="Times New Roman"/>
      <w:sz w:val="24"/>
      <w:szCs w:val="24"/>
    </w:rPr>
  </w:style>
  <w:style w:type="character" w:styleId="CommentReference">
    <w:name w:val="annotation reference"/>
    <w:basedOn w:val="DefaultParagraphFont"/>
    <w:uiPriority w:val="99"/>
    <w:semiHidden/>
    <w:unhideWhenUsed/>
    <w:rsid w:val="00C570E2"/>
    <w:rPr>
      <w:sz w:val="16"/>
      <w:szCs w:val="16"/>
    </w:rPr>
  </w:style>
  <w:style w:type="paragraph" w:styleId="CommentText">
    <w:name w:val="annotation text"/>
    <w:basedOn w:val="Normal"/>
    <w:link w:val="CommentTextChar"/>
    <w:uiPriority w:val="99"/>
    <w:semiHidden/>
    <w:unhideWhenUsed/>
    <w:rsid w:val="00C570E2"/>
  </w:style>
  <w:style w:type="character" w:customStyle="1" w:styleId="CommentTextChar">
    <w:name w:val="Comment Text Char"/>
    <w:basedOn w:val="DefaultParagraphFont"/>
    <w:link w:val="CommentText"/>
    <w:uiPriority w:val="99"/>
    <w:semiHidden/>
    <w:rsid w:val="00C570E2"/>
  </w:style>
  <w:style w:type="paragraph" w:styleId="CommentSubject">
    <w:name w:val="annotation subject"/>
    <w:basedOn w:val="CommentText"/>
    <w:next w:val="CommentText"/>
    <w:link w:val="CommentSubjectChar"/>
    <w:uiPriority w:val="99"/>
    <w:semiHidden/>
    <w:unhideWhenUsed/>
    <w:rsid w:val="00C570E2"/>
    <w:rPr>
      <w:b/>
      <w:bCs/>
    </w:rPr>
  </w:style>
  <w:style w:type="character" w:customStyle="1" w:styleId="CommentSubjectChar">
    <w:name w:val="Comment Subject Char"/>
    <w:basedOn w:val="CommentTextChar"/>
    <w:link w:val="CommentSubject"/>
    <w:uiPriority w:val="99"/>
    <w:semiHidden/>
    <w:rsid w:val="00C570E2"/>
    <w:rPr>
      <w:b/>
      <w:bCs/>
    </w:rPr>
  </w:style>
  <w:style w:type="paragraph" w:styleId="BalloonText">
    <w:name w:val="Balloon Text"/>
    <w:basedOn w:val="Normal"/>
    <w:link w:val="BalloonTextChar"/>
    <w:uiPriority w:val="99"/>
    <w:semiHidden/>
    <w:unhideWhenUsed/>
    <w:rsid w:val="00C570E2"/>
    <w:rPr>
      <w:rFonts w:ascii="Tahoma" w:hAnsi="Tahoma" w:cs="Tahoma"/>
      <w:sz w:val="16"/>
      <w:szCs w:val="16"/>
    </w:rPr>
  </w:style>
  <w:style w:type="character" w:customStyle="1" w:styleId="BalloonTextChar">
    <w:name w:val="Balloon Text Char"/>
    <w:basedOn w:val="DefaultParagraphFont"/>
    <w:link w:val="BalloonText"/>
    <w:uiPriority w:val="99"/>
    <w:semiHidden/>
    <w:rsid w:val="00C570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051765">
      <w:bodyDiv w:val="1"/>
      <w:marLeft w:val="0"/>
      <w:marRight w:val="0"/>
      <w:marTop w:val="0"/>
      <w:marBottom w:val="0"/>
      <w:divBdr>
        <w:top w:val="none" w:sz="0" w:space="0" w:color="auto"/>
        <w:left w:val="none" w:sz="0" w:space="0" w:color="auto"/>
        <w:bottom w:val="none" w:sz="0" w:space="0" w:color="auto"/>
        <w:right w:val="none" w:sz="0" w:space="0" w:color="auto"/>
      </w:divBdr>
      <w:divsChild>
        <w:div w:id="1455250785">
          <w:marLeft w:val="0"/>
          <w:marRight w:val="0"/>
          <w:marTop w:val="0"/>
          <w:marBottom w:val="0"/>
          <w:divBdr>
            <w:top w:val="none" w:sz="0" w:space="0" w:color="auto"/>
            <w:left w:val="none" w:sz="0" w:space="0" w:color="auto"/>
            <w:bottom w:val="none" w:sz="0" w:space="0" w:color="auto"/>
            <w:right w:val="none" w:sz="0" w:space="0" w:color="auto"/>
          </w:divBdr>
          <w:divsChild>
            <w:div w:id="507673164">
              <w:marLeft w:val="0"/>
              <w:marRight w:val="0"/>
              <w:marTop w:val="0"/>
              <w:marBottom w:val="0"/>
              <w:divBdr>
                <w:top w:val="none" w:sz="0" w:space="0" w:color="auto"/>
                <w:left w:val="none" w:sz="0" w:space="0" w:color="auto"/>
                <w:bottom w:val="none" w:sz="0" w:space="0" w:color="auto"/>
                <w:right w:val="none" w:sz="0" w:space="0" w:color="auto"/>
              </w:divBdr>
              <w:divsChild>
                <w:div w:id="1401444235">
                  <w:marLeft w:val="0"/>
                  <w:marRight w:val="0"/>
                  <w:marTop w:val="0"/>
                  <w:marBottom w:val="0"/>
                  <w:divBdr>
                    <w:top w:val="none" w:sz="0" w:space="0" w:color="auto"/>
                    <w:left w:val="none" w:sz="0" w:space="0" w:color="auto"/>
                    <w:bottom w:val="none" w:sz="0" w:space="0" w:color="auto"/>
                    <w:right w:val="none" w:sz="0" w:space="0" w:color="auto"/>
                  </w:divBdr>
                  <w:divsChild>
                    <w:div w:id="1291782744">
                      <w:marLeft w:val="0"/>
                      <w:marRight w:val="0"/>
                      <w:marTop w:val="0"/>
                      <w:marBottom w:val="0"/>
                      <w:divBdr>
                        <w:top w:val="none" w:sz="0" w:space="0" w:color="auto"/>
                        <w:left w:val="none" w:sz="0" w:space="0" w:color="auto"/>
                        <w:bottom w:val="none" w:sz="0" w:space="0" w:color="auto"/>
                        <w:right w:val="none" w:sz="0" w:space="0" w:color="auto"/>
                      </w:divBdr>
                      <w:divsChild>
                        <w:div w:id="808941552">
                          <w:marLeft w:val="67"/>
                          <w:marRight w:val="0"/>
                          <w:marTop w:val="0"/>
                          <w:marBottom w:val="0"/>
                          <w:divBdr>
                            <w:top w:val="none" w:sz="0" w:space="0" w:color="auto"/>
                            <w:left w:val="none" w:sz="0" w:space="0" w:color="auto"/>
                            <w:bottom w:val="none" w:sz="0" w:space="0" w:color="auto"/>
                            <w:right w:val="none" w:sz="0" w:space="0" w:color="auto"/>
                          </w:divBdr>
                          <w:divsChild>
                            <w:div w:id="1932468608">
                              <w:marLeft w:val="-67"/>
                              <w:marRight w:val="0"/>
                              <w:marTop w:val="0"/>
                              <w:marBottom w:val="0"/>
                              <w:divBdr>
                                <w:top w:val="none" w:sz="0" w:space="0" w:color="auto"/>
                                <w:left w:val="none" w:sz="0" w:space="0" w:color="auto"/>
                                <w:bottom w:val="none" w:sz="0" w:space="0" w:color="auto"/>
                                <w:right w:val="none" w:sz="0" w:space="0" w:color="auto"/>
                              </w:divBdr>
                              <w:divsChild>
                                <w:div w:id="906648639">
                                  <w:marLeft w:val="0"/>
                                  <w:marRight w:val="0"/>
                                  <w:marTop w:val="0"/>
                                  <w:marBottom w:val="0"/>
                                  <w:divBdr>
                                    <w:top w:val="none" w:sz="0" w:space="0" w:color="auto"/>
                                    <w:left w:val="none" w:sz="0" w:space="0" w:color="auto"/>
                                    <w:bottom w:val="none" w:sz="0" w:space="0" w:color="auto"/>
                                    <w:right w:val="none" w:sz="0" w:space="0" w:color="auto"/>
                                  </w:divBdr>
                                  <w:divsChild>
                                    <w:div w:id="1767729945">
                                      <w:marLeft w:val="0"/>
                                      <w:marRight w:val="0"/>
                                      <w:marTop w:val="0"/>
                                      <w:marBottom w:val="0"/>
                                      <w:divBdr>
                                        <w:top w:val="none" w:sz="0" w:space="0" w:color="auto"/>
                                        <w:left w:val="none" w:sz="0" w:space="0" w:color="auto"/>
                                        <w:bottom w:val="single" w:sz="6" w:space="0" w:color="A1A1A1"/>
                                        <w:right w:val="none" w:sz="0" w:space="0" w:color="auto"/>
                                      </w:divBdr>
                                      <w:divsChild>
                                        <w:div w:id="695152946">
                                          <w:marLeft w:val="0"/>
                                          <w:marRight w:val="0"/>
                                          <w:marTop w:val="0"/>
                                          <w:marBottom w:val="167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adiologyinfo.org/en/info.cfm?pg=dex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f.org/aboutosteoporosis/bonebasics/riskfac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ylifecheck.heart.org/Multitab.aspx?NavID=14&amp;CultureCode=en-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ericanheart.org/presenter.jhtml?identifier=3000929"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1FA76-1AD7-4716-85C8-BB5FA96F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2032</Words>
  <Characters>11586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Mary</cp:lastModifiedBy>
  <cp:revision>2</cp:revision>
  <dcterms:created xsi:type="dcterms:W3CDTF">2012-03-11T20:37:00Z</dcterms:created>
  <dcterms:modified xsi:type="dcterms:W3CDTF">2012-03-11T20:37:00Z</dcterms:modified>
</cp:coreProperties>
</file>