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7A6" w:rsidRDefault="003D7BBE" w:rsidP="007B07A6">
      <w:pPr>
        <w:pStyle w:val="NoSpacing"/>
        <w:spacing w:line="480" w:lineRule="auto"/>
        <w:jc w:val="center"/>
        <w:rPr>
          <w:rFonts w:ascii="Times New Roman" w:hAnsi="Times New Roman" w:cs="Times New Roman"/>
          <w:sz w:val="20"/>
          <w:szCs w:val="20"/>
        </w:rPr>
      </w:pPr>
      <w:r>
        <w:rPr>
          <w:rStyle w:val="CommentReference"/>
          <w:rFonts w:ascii="Times New Roman" w:hAnsi="Times New Roman" w:cs="Palatino Linotype"/>
        </w:rPr>
        <w:commentReference w:id="0"/>
      </w:r>
    </w:p>
    <w:p w:rsidR="007B07A6" w:rsidRDefault="007B07A6" w:rsidP="007B07A6">
      <w:pPr>
        <w:pStyle w:val="NoSpacing"/>
        <w:spacing w:line="480" w:lineRule="auto"/>
        <w:jc w:val="center"/>
        <w:rPr>
          <w:rFonts w:ascii="Times New Roman" w:hAnsi="Times New Roman" w:cs="Times New Roman"/>
          <w:sz w:val="20"/>
          <w:szCs w:val="20"/>
        </w:rPr>
      </w:pPr>
    </w:p>
    <w:p w:rsidR="007B07A6" w:rsidRDefault="007B07A6" w:rsidP="007B07A6">
      <w:pPr>
        <w:pStyle w:val="NoSpacing"/>
        <w:spacing w:line="480" w:lineRule="auto"/>
        <w:jc w:val="center"/>
        <w:rPr>
          <w:rFonts w:ascii="Times New Roman" w:hAnsi="Times New Roman" w:cs="Times New Roman"/>
          <w:sz w:val="20"/>
          <w:szCs w:val="20"/>
        </w:rPr>
      </w:pPr>
    </w:p>
    <w:p w:rsidR="007B07A6" w:rsidRDefault="007B07A6" w:rsidP="007B07A6">
      <w:pPr>
        <w:pStyle w:val="NoSpacing"/>
        <w:spacing w:line="480" w:lineRule="auto"/>
        <w:jc w:val="center"/>
        <w:rPr>
          <w:rFonts w:ascii="Times New Roman" w:hAnsi="Times New Roman" w:cs="Times New Roman"/>
          <w:sz w:val="20"/>
          <w:szCs w:val="20"/>
        </w:rPr>
      </w:pPr>
    </w:p>
    <w:p w:rsidR="007B07A6" w:rsidRDefault="007B07A6" w:rsidP="007B07A6">
      <w:pPr>
        <w:pStyle w:val="NoSpacing"/>
        <w:spacing w:line="480" w:lineRule="auto"/>
        <w:jc w:val="center"/>
        <w:rPr>
          <w:rFonts w:ascii="Times New Roman" w:hAnsi="Times New Roman" w:cs="Times New Roman"/>
          <w:sz w:val="20"/>
          <w:szCs w:val="20"/>
        </w:rPr>
      </w:pPr>
    </w:p>
    <w:p w:rsidR="007B07A6" w:rsidRPr="00417C47" w:rsidRDefault="007B07A6" w:rsidP="007B07A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Gerontology Case Study 18.2</w:t>
      </w:r>
    </w:p>
    <w:p w:rsidR="007B07A6" w:rsidRPr="00417C47" w:rsidRDefault="007B07A6" w:rsidP="007B07A6">
      <w:pPr>
        <w:pStyle w:val="NoSpacing"/>
        <w:spacing w:line="480" w:lineRule="auto"/>
        <w:jc w:val="center"/>
        <w:rPr>
          <w:rFonts w:ascii="Times New Roman" w:hAnsi="Times New Roman" w:cs="Times New Roman"/>
          <w:sz w:val="20"/>
          <w:szCs w:val="20"/>
        </w:rPr>
      </w:pPr>
      <w:r w:rsidRPr="00417C47">
        <w:rPr>
          <w:rFonts w:ascii="Times New Roman" w:hAnsi="Times New Roman" w:cs="Times New Roman"/>
          <w:sz w:val="20"/>
          <w:szCs w:val="20"/>
        </w:rPr>
        <w:t>Chelsea K. Owens</w:t>
      </w:r>
    </w:p>
    <w:p w:rsidR="007B07A6" w:rsidRPr="00417C47" w:rsidRDefault="007B07A6" w:rsidP="007B07A6">
      <w:pPr>
        <w:pStyle w:val="NoSpacing"/>
        <w:spacing w:line="480" w:lineRule="auto"/>
        <w:jc w:val="center"/>
        <w:rPr>
          <w:rFonts w:ascii="Times New Roman" w:hAnsi="Times New Roman" w:cs="Times New Roman"/>
          <w:sz w:val="20"/>
          <w:szCs w:val="20"/>
        </w:rPr>
      </w:pPr>
      <w:r w:rsidRPr="00417C47">
        <w:rPr>
          <w:rFonts w:ascii="Times New Roman" w:hAnsi="Times New Roman" w:cs="Times New Roman"/>
          <w:sz w:val="20"/>
          <w:szCs w:val="20"/>
        </w:rPr>
        <w:t>Lakeview College of Nursing</w:t>
      </w:r>
    </w:p>
    <w:p w:rsidR="007B07A6" w:rsidRPr="00417C47" w:rsidRDefault="007B07A6" w:rsidP="007B07A6">
      <w:pPr>
        <w:pStyle w:val="NoSpacing"/>
        <w:spacing w:line="480" w:lineRule="auto"/>
        <w:jc w:val="center"/>
        <w:rPr>
          <w:rFonts w:ascii="Times New Roman" w:hAnsi="Times New Roman" w:cs="Times New Roman"/>
          <w:sz w:val="20"/>
          <w:szCs w:val="20"/>
        </w:rPr>
      </w:pPr>
      <w:r w:rsidRPr="00417C47">
        <w:rPr>
          <w:rFonts w:ascii="Times New Roman" w:hAnsi="Times New Roman" w:cs="Times New Roman"/>
          <w:sz w:val="20"/>
          <w:szCs w:val="20"/>
        </w:rPr>
        <w:t>N309 Nursing of the Gerontological Client</w:t>
      </w:r>
    </w:p>
    <w:p w:rsidR="007B07A6" w:rsidRPr="00417C47" w:rsidRDefault="007B07A6" w:rsidP="007B07A6">
      <w:pPr>
        <w:pStyle w:val="NoSpacing"/>
        <w:spacing w:line="480" w:lineRule="auto"/>
        <w:jc w:val="center"/>
        <w:rPr>
          <w:rFonts w:ascii="Times New Roman" w:hAnsi="Times New Roman" w:cs="Times New Roman"/>
          <w:sz w:val="20"/>
          <w:szCs w:val="20"/>
        </w:rPr>
      </w:pPr>
      <w:r w:rsidRPr="00417C47">
        <w:rPr>
          <w:rFonts w:ascii="Times New Roman" w:hAnsi="Times New Roman" w:cs="Times New Roman"/>
          <w:sz w:val="20"/>
          <w:szCs w:val="20"/>
        </w:rPr>
        <w:t>April 15, 2012</w:t>
      </w:r>
    </w:p>
    <w:p w:rsidR="006C6869" w:rsidRDefault="006C6869"/>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p w:rsidR="007B07A6" w:rsidRDefault="007B07A6" w:rsidP="00797A89">
      <w:pPr>
        <w:spacing w:line="480" w:lineRule="auto"/>
        <w:jc w:val="center"/>
      </w:pPr>
      <w:r>
        <w:lastRenderedPageBreak/>
        <w:t>Gerontology Case Study 18.2</w:t>
      </w:r>
    </w:p>
    <w:p w:rsidR="007B07A6" w:rsidRDefault="007B07A6" w:rsidP="00797A89">
      <w:pPr>
        <w:spacing w:line="480" w:lineRule="auto"/>
      </w:pPr>
      <w:r>
        <w:t>1. According to McBride (n.d.), ethnogeriatrics is defined as health care for older persons from diverse ethnic populations.</w:t>
      </w:r>
    </w:p>
    <w:p w:rsidR="007B07A6" w:rsidRDefault="007B07A6" w:rsidP="00797A89">
      <w:pPr>
        <w:spacing w:line="480" w:lineRule="auto"/>
      </w:pPr>
      <w:r>
        <w:t xml:space="preserve">2. </w:t>
      </w:r>
      <w:r w:rsidR="006513F1">
        <w:t>According to the US Census Bureau, the term “Hispanic” describes refers to people who trace their origin or descent to Mexico, Puerto Rico, Cuba, Central/South America, and Spain.</w:t>
      </w:r>
    </w:p>
    <w:p w:rsidR="006513F1" w:rsidRDefault="006513F1" w:rsidP="00797A89">
      <w:pPr>
        <w:spacing w:line="480" w:lineRule="auto"/>
      </w:pPr>
      <w:r>
        <w:t xml:space="preserve">3. McBride (n.d.) explains that level of acculturation is defined as the degree in which an ethnic older person has integrated the cultural beliefs, values, and practices of the mainstream society into his/her cultural beliefs and values. This is important to assess because we do not want to cause any confusion or make any assumptions about our patient’s cultural beliefs and practices. </w:t>
      </w:r>
    </w:p>
    <w:p w:rsidR="00A9298E" w:rsidRDefault="006513F1" w:rsidP="00797A89">
      <w:pPr>
        <w:spacing w:line="480" w:lineRule="auto"/>
      </w:pPr>
      <w:r>
        <w:t xml:space="preserve">4. </w:t>
      </w:r>
      <w:r w:rsidR="00A9298E">
        <w:t>Two things are recommended as informal indicators of acculturation that can be used quickly by a healthcare provider for assessment include length of time older patients or their ancestors have been in the U.S, and their language used at home, or fluency in spoken and written English.</w:t>
      </w:r>
    </w:p>
    <w:p w:rsidR="00A9298E" w:rsidRDefault="00A9298E" w:rsidP="00797A89">
      <w:pPr>
        <w:spacing w:line="480" w:lineRule="auto"/>
      </w:pPr>
      <w:r>
        <w:t>5. Since Brody is aware that he needs a translator for his client, one should absolutely be contacted to assist with the interview. Family members are strong discouraged from being the interpreters due to possible lack of appropriate language skills and culturally based modesty that can lead to difficulty in discussing family problems.</w:t>
      </w:r>
    </w:p>
    <w:p w:rsidR="00A9298E" w:rsidRDefault="00A9298E" w:rsidP="00797A89">
      <w:pPr>
        <w:spacing w:line="480" w:lineRule="auto"/>
      </w:pPr>
      <w:r>
        <w:t xml:space="preserve">6. </w:t>
      </w:r>
      <w:r w:rsidR="00CB5DA0">
        <w:t>To be successful in communicating with an elderly Hispanic/Latino client, the following are considered appropriate: B-addressing the client by their last name, C-knowing some people nod yes but do not fully comprehend the message, and D-realizing that questions of authority may be considered unacceptable. Hand gesturing should be avoided. (</w:t>
      </w:r>
      <w:proofErr w:type="spellStart"/>
      <w:r w:rsidR="00CB5DA0">
        <w:t>Talmantes</w:t>
      </w:r>
      <w:proofErr w:type="spellEnd"/>
      <w:r w:rsidR="00CB5DA0">
        <w:t>, Lindeman, &amp; Mouton, 2001)</w:t>
      </w:r>
    </w:p>
    <w:p w:rsidR="00365807" w:rsidRDefault="00CB5DA0" w:rsidP="007B07A6">
      <w:r>
        <w:t>7.</w:t>
      </w:r>
    </w:p>
    <w:tbl>
      <w:tblPr>
        <w:tblStyle w:val="TableGrid"/>
        <w:tblW w:w="0" w:type="auto"/>
        <w:tblLook w:val="04A0"/>
      </w:tblPr>
      <w:tblGrid>
        <w:gridCol w:w="4788"/>
        <w:gridCol w:w="4788"/>
      </w:tblGrid>
      <w:tr w:rsidR="00365807" w:rsidTr="00365807">
        <w:tc>
          <w:tcPr>
            <w:tcW w:w="4788" w:type="dxa"/>
          </w:tcPr>
          <w:p w:rsidR="00365807" w:rsidRDefault="00365807" w:rsidP="007B07A6">
            <w:r>
              <w:t>Cultural Theme</w:t>
            </w:r>
          </w:p>
        </w:tc>
        <w:tc>
          <w:tcPr>
            <w:tcW w:w="4788" w:type="dxa"/>
          </w:tcPr>
          <w:p w:rsidR="00365807" w:rsidRDefault="00365807" w:rsidP="007B07A6">
            <w:r>
              <w:t>Description</w:t>
            </w:r>
          </w:p>
        </w:tc>
      </w:tr>
      <w:tr w:rsidR="00365807" w:rsidTr="00365807">
        <w:tc>
          <w:tcPr>
            <w:tcW w:w="4788" w:type="dxa"/>
          </w:tcPr>
          <w:p w:rsidR="00365807" w:rsidRDefault="00365807" w:rsidP="007B07A6">
            <w:proofErr w:type="spellStart"/>
            <w:r>
              <w:t>Familismo</w:t>
            </w:r>
            <w:proofErr w:type="spellEnd"/>
          </w:p>
        </w:tc>
        <w:tc>
          <w:tcPr>
            <w:tcW w:w="4788" w:type="dxa"/>
          </w:tcPr>
          <w:p w:rsidR="00365807" w:rsidRDefault="008625B6" w:rsidP="007B07A6">
            <w:r>
              <w:t>Importance of family at all levels: nuclear, extended, fictive kin (</w:t>
            </w:r>
            <w:proofErr w:type="spellStart"/>
            <w:r>
              <w:t>compadres</w:t>
            </w:r>
            <w:proofErr w:type="spellEnd"/>
            <w:r>
              <w:t xml:space="preserve">). Needs of family take precedence over individual </w:t>
            </w:r>
            <w:proofErr w:type="gramStart"/>
            <w:r>
              <w:t>needs.</w:t>
            </w:r>
            <w:proofErr w:type="gramEnd"/>
            <w:r>
              <w:t xml:space="preserve"> Mutual reciprocity.</w:t>
            </w:r>
          </w:p>
        </w:tc>
      </w:tr>
      <w:tr w:rsidR="008625B6" w:rsidTr="00365807">
        <w:tc>
          <w:tcPr>
            <w:tcW w:w="4788" w:type="dxa"/>
          </w:tcPr>
          <w:p w:rsidR="008625B6" w:rsidRDefault="008625B6" w:rsidP="007B07A6">
            <w:proofErr w:type="spellStart"/>
            <w:r>
              <w:t>Personalismo</w:t>
            </w:r>
            <w:proofErr w:type="spellEnd"/>
          </w:p>
        </w:tc>
        <w:tc>
          <w:tcPr>
            <w:tcW w:w="4788" w:type="dxa"/>
          </w:tcPr>
          <w:p w:rsidR="008625B6" w:rsidRDefault="008625B6" w:rsidP="007B07A6">
            <w:r>
              <w:t>Display of mutual respect, trust building.</w:t>
            </w:r>
          </w:p>
        </w:tc>
      </w:tr>
      <w:tr w:rsidR="008625B6" w:rsidTr="00365807">
        <w:tc>
          <w:tcPr>
            <w:tcW w:w="4788" w:type="dxa"/>
          </w:tcPr>
          <w:p w:rsidR="008625B6" w:rsidRDefault="008625B6" w:rsidP="007B07A6">
            <w:proofErr w:type="spellStart"/>
            <w:r>
              <w:t>Jeraquismo</w:t>
            </w:r>
            <w:proofErr w:type="spellEnd"/>
          </w:p>
        </w:tc>
        <w:tc>
          <w:tcPr>
            <w:tcW w:w="4788" w:type="dxa"/>
          </w:tcPr>
          <w:p w:rsidR="008625B6" w:rsidRDefault="008625B6" w:rsidP="007B07A6">
            <w:r>
              <w:t>Respect for hierarchy</w:t>
            </w:r>
          </w:p>
        </w:tc>
      </w:tr>
      <w:tr w:rsidR="008625B6" w:rsidTr="00365807">
        <w:tc>
          <w:tcPr>
            <w:tcW w:w="4788" w:type="dxa"/>
          </w:tcPr>
          <w:p w:rsidR="008625B6" w:rsidRDefault="008625B6" w:rsidP="007B07A6">
            <w:proofErr w:type="spellStart"/>
            <w:r>
              <w:t>Presentismo</w:t>
            </w:r>
            <w:proofErr w:type="spellEnd"/>
          </w:p>
        </w:tc>
        <w:tc>
          <w:tcPr>
            <w:tcW w:w="4788" w:type="dxa"/>
          </w:tcPr>
          <w:p w:rsidR="008625B6" w:rsidRDefault="008625B6" w:rsidP="007B07A6">
            <w:r>
              <w:t>Emphasis on present</w:t>
            </w:r>
          </w:p>
        </w:tc>
      </w:tr>
      <w:tr w:rsidR="008625B6" w:rsidTr="00365807">
        <w:tc>
          <w:tcPr>
            <w:tcW w:w="4788" w:type="dxa"/>
          </w:tcPr>
          <w:p w:rsidR="008625B6" w:rsidRDefault="008625B6" w:rsidP="007B07A6">
            <w:proofErr w:type="spellStart"/>
            <w:r>
              <w:t>Espiritismo</w:t>
            </w:r>
            <w:proofErr w:type="spellEnd"/>
          </w:p>
        </w:tc>
        <w:tc>
          <w:tcPr>
            <w:tcW w:w="4788" w:type="dxa"/>
          </w:tcPr>
          <w:p w:rsidR="008625B6" w:rsidRDefault="008625B6" w:rsidP="007B07A6">
            <w:r>
              <w:t>Belief that good/evil spirits can affect well being and spirit of the dead person</w:t>
            </w:r>
          </w:p>
        </w:tc>
      </w:tr>
    </w:tbl>
    <w:p w:rsidR="00797A89" w:rsidRDefault="00797A89" w:rsidP="00797A89">
      <w:pPr>
        <w:spacing w:line="480" w:lineRule="auto"/>
      </w:pPr>
    </w:p>
    <w:p w:rsidR="00CB5DA0" w:rsidRDefault="008625B6" w:rsidP="00797A89">
      <w:pPr>
        <w:spacing w:line="480" w:lineRule="auto"/>
      </w:pPr>
      <w:r>
        <w:t xml:space="preserve">8. In the Hispanic culture, a </w:t>
      </w:r>
      <w:proofErr w:type="spellStart"/>
      <w:r>
        <w:t>Curandero</w:t>
      </w:r>
      <w:proofErr w:type="spellEnd"/>
      <w:r>
        <w:t xml:space="preserve"> is defined as the general practitioner of Mexican folk healing. The text talks about two commonly used herbs to treat diabetes. These were cactus and aloe vera. Prayer and faith are also used a lot in the Hispanic culture.</w:t>
      </w:r>
    </w:p>
    <w:p w:rsidR="00797A89" w:rsidRDefault="00797A89" w:rsidP="00797A89">
      <w:pPr>
        <w:spacing w:line="480" w:lineRule="auto"/>
        <w:jc w:val="center"/>
        <w:sectPr w:rsidR="00797A89" w:rsidSect="007B07A6">
          <w:headerReference w:type="default" r:id="rId9"/>
          <w:headerReference w:type="first" r:id="rId10"/>
          <w:pgSz w:w="12240" w:h="15840"/>
          <w:pgMar w:top="1440" w:right="1440" w:bottom="1440" w:left="1440" w:header="720" w:footer="720" w:gutter="0"/>
          <w:cols w:space="720"/>
          <w:titlePg/>
          <w:docGrid w:linePitch="360"/>
        </w:sectPr>
      </w:pPr>
    </w:p>
    <w:p w:rsidR="00797A89" w:rsidRDefault="00797A89" w:rsidP="00797A89">
      <w:pPr>
        <w:spacing w:line="480" w:lineRule="auto"/>
        <w:jc w:val="center"/>
      </w:pPr>
      <w:r>
        <w:lastRenderedPageBreak/>
        <w:t>References</w:t>
      </w:r>
    </w:p>
    <w:p w:rsidR="00797A89" w:rsidRDefault="00797A89" w:rsidP="00797A89">
      <w:pPr>
        <w:spacing w:line="480" w:lineRule="auto"/>
        <w:rPr>
          <w:rFonts w:cs="Times New Roman"/>
          <w:i/>
        </w:rPr>
      </w:pPr>
      <w:proofErr w:type="gramStart"/>
      <w:r>
        <w:rPr>
          <w:rFonts w:cs="Times New Roman"/>
        </w:rPr>
        <w:t>McBride, M. (n.d.).</w:t>
      </w:r>
      <w:proofErr w:type="gramEnd"/>
      <w:r>
        <w:rPr>
          <w:rFonts w:cs="Times New Roman"/>
        </w:rPr>
        <w:t xml:space="preserve"> </w:t>
      </w:r>
      <w:proofErr w:type="gramStart"/>
      <w:r>
        <w:rPr>
          <w:rFonts w:cs="Times New Roman"/>
          <w:i/>
        </w:rPr>
        <w:t>Ethnogeriatrics and cultural competence for nursing practice.</w:t>
      </w:r>
      <w:proofErr w:type="gramEnd"/>
    </w:p>
    <w:p w:rsidR="00797A89" w:rsidRDefault="00797A89" w:rsidP="00797A89">
      <w:pPr>
        <w:spacing w:line="480" w:lineRule="auto"/>
        <w:ind w:firstLine="720"/>
        <w:rPr>
          <w:rFonts w:cs="Times New Roman"/>
        </w:rPr>
      </w:pPr>
      <w:r>
        <w:rPr>
          <w:rFonts w:cs="Times New Roman"/>
        </w:rPr>
        <w:t xml:space="preserve"> </w:t>
      </w:r>
      <w:proofErr w:type="gramStart"/>
      <w:r>
        <w:rPr>
          <w:rFonts w:cs="Times New Roman"/>
        </w:rPr>
        <w:t>Hartford Institute for Geriatric Nursing.</w:t>
      </w:r>
      <w:proofErr w:type="gramEnd"/>
      <w:r>
        <w:rPr>
          <w:rFonts w:cs="Times New Roman"/>
        </w:rPr>
        <w:t xml:space="preserve"> Retrieved from </w:t>
      </w:r>
    </w:p>
    <w:p w:rsidR="00797A89" w:rsidRDefault="003767D5" w:rsidP="00797A89">
      <w:pPr>
        <w:spacing w:line="480" w:lineRule="auto"/>
        <w:ind w:left="720"/>
        <w:rPr>
          <w:rFonts w:cs="Times New Roman"/>
        </w:rPr>
      </w:pPr>
      <w:hyperlink r:id="rId11" w:history="1">
        <w:r w:rsidR="00797A89" w:rsidRPr="002905DB">
          <w:rPr>
            <w:rStyle w:val="Hyperlink"/>
            <w:rFonts w:cs="Times New Roman"/>
          </w:rPr>
          <w:t>http://consultgerirn.org/topics/ethnogeriatrics_and_cultural_competence_for_nursing_practice/want_to_know_more</w:t>
        </w:r>
      </w:hyperlink>
      <w:r w:rsidR="00797A89">
        <w:rPr>
          <w:rFonts w:cs="Times New Roman"/>
        </w:rPr>
        <w:t xml:space="preserve"> </w:t>
      </w:r>
    </w:p>
    <w:p w:rsidR="00797A89" w:rsidRDefault="00797A89" w:rsidP="00797A89">
      <w:pPr>
        <w:spacing w:line="480" w:lineRule="auto"/>
        <w:rPr>
          <w:rFonts w:cs="Times New Roman"/>
          <w:i/>
        </w:rPr>
      </w:pPr>
      <w:proofErr w:type="spellStart"/>
      <w:proofErr w:type="gramStart"/>
      <w:r>
        <w:rPr>
          <w:rFonts w:cs="Times New Roman"/>
        </w:rPr>
        <w:t>Talmates</w:t>
      </w:r>
      <w:proofErr w:type="spellEnd"/>
      <w:r>
        <w:rPr>
          <w:rFonts w:cs="Times New Roman"/>
        </w:rPr>
        <w:t>, M., Lindeman, R., &amp; Mouton, C. (2011).</w:t>
      </w:r>
      <w:proofErr w:type="gramEnd"/>
      <w:r>
        <w:rPr>
          <w:rFonts w:cs="Times New Roman"/>
        </w:rPr>
        <w:t xml:space="preserve"> </w:t>
      </w:r>
      <w:r>
        <w:rPr>
          <w:rFonts w:cs="Times New Roman"/>
          <w:i/>
        </w:rPr>
        <w:t>Health and health care of Hispanic/Latino American elders</w:t>
      </w:r>
    </w:p>
    <w:p w:rsidR="00797A89" w:rsidRDefault="00797A89" w:rsidP="00797A89">
      <w:pPr>
        <w:spacing w:line="480" w:lineRule="auto"/>
        <w:rPr>
          <w:rFonts w:cs="Times New Roman"/>
        </w:rPr>
      </w:pPr>
      <w:r>
        <w:rPr>
          <w:rFonts w:cs="Times New Roman"/>
          <w:i/>
        </w:rPr>
        <w:tab/>
      </w:r>
      <w:r>
        <w:rPr>
          <w:rFonts w:cs="Times New Roman"/>
        </w:rPr>
        <w:t>(2</w:t>
      </w:r>
      <w:r w:rsidRPr="00797A89">
        <w:rPr>
          <w:rFonts w:cs="Times New Roman"/>
          <w:vertAlign w:val="superscript"/>
        </w:rPr>
        <w:t>nd</w:t>
      </w:r>
      <w:r>
        <w:rPr>
          <w:rFonts w:cs="Times New Roman"/>
        </w:rPr>
        <w:t xml:space="preserve"> </w:t>
      </w:r>
      <w:proofErr w:type="gramStart"/>
      <w:r>
        <w:rPr>
          <w:rFonts w:cs="Times New Roman"/>
        </w:rPr>
        <w:t>ed</w:t>
      </w:r>
      <w:proofErr w:type="gramEnd"/>
      <w:r>
        <w:rPr>
          <w:rFonts w:cs="Times New Roman"/>
        </w:rPr>
        <w:t xml:space="preserve">.). </w:t>
      </w:r>
      <w:proofErr w:type="gramStart"/>
      <w:r>
        <w:rPr>
          <w:rFonts w:cs="Times New Roman"/>
        </w:rPr>
        <w:t>Stanford Geriatric Center.</w:t>
      </w:r>
      <w:proofErr w:type="gramEnd"/>
      <w:r>
        <w:rPr>
          <w:rFonts w:cs="Times New Roman"/>
        </w:rPr>
        <w:t xml:space="preserve"> </w:t>
      </w:r>
      <w:commentRangeStart w:id="1"/>
      <w:r>
        <w:rPr>
          <w:rFonts w:cs="Times New Roman"/>
        </w:rPr>
        <w:t>Supported by the Bureau of Health Professions Health Resources</w:t>
      </w:r>
    </w:p>
    <w:p w:rsidR="00797A89" w:rsidRDefault="00797A89" w:rsidP="00797A89">
      <w:pPr>
        <w:spacing w:line="480" w:lineRule="auto"/>
        <w:rPr>
          <w:rFonts w:cs="Times New Roman"/>
        </w:rPr>
      </w:pPr>
      <w:r>
        <w:rPr>
          <w:rFonts w:cs="Times New Roman"/>
        </w:rPr>
        <w:tab/>
      </w:r>
      <w:proofErr w:type="gramStart"/>
      <w:r>
        <w:rPr>
          <w:rFonts w:cs="Times New Roman"/>
        </w:rPr>
        <w:t>and</w:t>
      </w:r>
      <w:proofErr w:type="gramEnd"/>
      <w:r>
        <w:rPr>
          <w:rFonts w:cs="Times New Roman"/>
        </w:rPr>
        <w:t xml:space="preserve"> Services Administration U.S. Department of Health and Human Services</w:t>
      </w:r>
      <w:commentRangeEnd w:id="1"/>
      <w:r w:rsidR="003D7BBE">
        <w:rPr>
          <w:rStyle w:val="CommentReference"/>
        </w:rPr>
        <w:commentReference w:id="1"/>
      </w:r>
      <w:r>
        <w:rPr>
          <w:rFonts w:cs="Times New Roman"/>
        </w:rPr>
        <w:t xml:space="preserve">. </w:t>
      </w:r>
      <w:proofErr w:type="spellStart"/>
      <w:r w:rsidRPr="003D7BBE">
        <w:rPr>
          <w:rFonts w:cs="Times New Roman"/>
          <w:color w:val="FF0000"/>
        </w:rPr>
        <w:t>Retrived</w:t>
      </w:r>
      <w:proofErr w:type="spellEnd"/>
      <w:r>
        <w:rPr>
          <w:rFonts w:cs="Times New Roman"/>
        </w:rPr>
        <w:t xml:space="preserve"> from </w:t>
      </w:r>
    </w:p>
    <w:p w:rsidR="00797A89" w:rsidRPr="00797A89" w:rsidRDefault="00797A89" w:rsidP="00797A89">
      <w:pPr>
        <w:spacing w:line="480" w:lineRule="auto"/>
        <w:rPr>
          <w:rFonts w:cs="Times New Roman"/>
        </w:rPr>
      </w:pPr>
      <w:r>
        <w:rPr>
          <w:rFonts w:cs="Times New Roman"/>
        </w:rPr>
        <w:tab/>
      </w:r>
      <w:hyperlink r:id="rId12" w:history="1">
        <w:r w:rsidRPr="002905DB">
          <w:rPr>
            <w:rStyle w:val="Hyperlink"/>
            <w:rFonts w:cs="Times New Roman"/>
          </w:rPr>
          <w:t>http://www.stanford.edu/group/ethnoger/index.html</w:t>
        </w:r>
      </w:hyperlink>
      <w:r>
        <w:rPr>
          <w:rFonts w:cs="Times New Roman"/>
        </w:rPr>
        <w:t xml:space="preserve"> </w:t>
      </w:r>
    </w:p>
    <w:p w:rsidR="008625B6" w:rsidRDefault="008625B6" w:rsidP="007B07A6"/>
    <w:sectPr w:rsidR="008625B6" w:rsidSect="007B07A6">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7T21:08:00Z" w:initials="M">
    <w:p w:rsidR="003D7BBE" w:rsidRDefault="003D7BBE">
      <w:pPr>
        <w:pStyle w:val="CommentText"/>
      </w:pPr>
      <w:r>
        <w:rPr>
          <w:rStyle w:val="CommentReference"/>
        </w:rPr>
        <w:annotationRef/>
      </w:r>
      <w:r>
        <w:t>Pg nu needs to be 1 inch margin</w:t>
      </w:r>
    </w:p>
  </w:comment>
  <w:comment w:id="1" w:author="Mary" w:date="2012-04-17T21:09:00Z" w:initials="M">
    <w:p w:rsidR="003D7BBE" w:rsidRDefault="003D7BBE">
      <w:pPr>
        <w:pStyle w:val="CommentText"/>
      </w:pPr>
      <w:r>
        <w:rPr>
          <w:rStyle w:val="CommentReference"/>
        </w:rPr>
        <w:annotationRef/>
      </w:r>
      <w:proofErr w:type="gramStart"/>
      <w:r>
        <w:t>delete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853" w:rsidRDefault="00445853" w:rsidP="007B07A6">
      <w:r>
        <w:separator/>
      </w:r>
    </w:p>
  </w:endnote>
  <w:endnote w:type="continuationSeparator" w:id="0">
    <w:p w:rsidR="00445853" w:rsidRDefault="00445853" w:rsidP="007B07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853" w:rsidRDefault="00445853" w:rsidP="007B07A6">
      <w:r>
        <w:separator/>
      </w:r>
    </w:p>
  </w:footnote>
  <w:footnote w:type="continuationSeparator" w:id="0">
    <w:p w:rsidR="00445853" w:rsidRDefault="00445853" w:rsidP="007B07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A6" w:rsidRDefault="007B07A6">
    <w:pPr>
      <w:pStyle w:val="Header"/>
    </w:pPr>
    <w:r>
      <w:t>GERONTOLOGY CASE STUDY 18.2</w:t>
    </w:r>
    <w:r>
      <w:tab/>
    </w:r>
    <w:r>
      <w:ta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A6" w:rsidRDefault="005A564C">
    <w:pPr>
      <w:pStyle w:val="Header"/>
    </w:pPr>
    <w:r>
      <w:t xml:space="preserve">Running head: </w:t>
    </w:r>
    <w:r w:rsidR="007B07A6">
      <w:t>GERONTOLOGY CASE STUDY 18.2</w:t>
    </w:r>
    <w:r w:rsidR="007B07A6">
      <w:tab/>
    </w:r>
    <w:r w:rsidR="007B07A6">
      <w:tab/>
    </w:r>
    <w:r w:rsidR="007B07A6">
      <w:tab/>
      <w:t>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A89" w:rsidRDefault="00797A89">
    <w:pPr>
      <w:pStyle w:val="Header"/>
    </w:pPr>
    <w:r>
      <w:t>GERONTOLOGY CASE STUDY 18.2</w:t>
    </w:r>
    <w:r>
      <w:tab/>
    </w:r>
    <w:r>
      <w:tab/>
    </w:r>
    <w:r>
      <w:tab/>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0E3A"/>
    <w:multiLevelType w:val="multilevel"/>
    <w:tmpl w:val="15F48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7B07A6"/>
    <w:rsid w:val="00060AC0"/>
    <w:rsid w:val="000F7258"/>
    <w:rsid w:val="00365807"/>
    <w:rsid w:val="003767D5"/>
    <w:rsid w:val="003D7BBE"/>
    <w:rsid w:val="00445853"/>
    <w:rsid w:val="005A564C"/>
    <w:rsid w:val="00626548"/>
    <w:rsid w:val="006513F1"/>
    <w:rsid w:val="00663F52"/>
    <w:rsid w:val="006C6869"/>
    <w:rsid w:val="006E0B4F"/>
    <w:rsid w:val="00797A89"/>
    <w:rsid w:val="007B07A6"/>
    <w:rsid w:val="008625B6"/>
    <w:rsid w:val="00886FBF"/>
    <w:rsid w:val="00A9298E"/>
    <w:rsid w:val="00CB5D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Palatino Linotype"/>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8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07A6"/>
    <w:rPr>
      <w:rFonts w:asciiTheme="minorHAnsi" w:hAnsiTheme="minorHAnsi" w:cstheme="minorBidi"/>
      <w:sz w:val="22"/>
      <w:szCs w:val="22"/>
    </w:rPr>
  </w:style>
  <w:style w:type="paragraph" w:styleId="Header">
    <w:name w:val="header"/>
    <w:basedOn w:val="Normal"/>
    <w:link w:val="HeaderChar"/>
    <w:uiPriority w:val="99"/>
    <w:semiHidden/>
    <w:unhideWhenUsed/>
    <w:rsid w:val="007B07A6"/>
    <w:pPr>
      <w:tabs>
        <w:tab w:val="center" w:pos="4680"/>
        <w:tab w:val="right" w:pos="9360"/>
      </w:tabs>
    </w:pPr>
  </w:style>
  <w:style w:type="character" w:customStyle="1" w:styleId="HeaderChar">
    <w:name w:val="Header Char"/>
    <w:basedOn w:val="DefaultParagraphFont"/>
    <w:link w:val="Header"/>
    <w:uiPriority w:val="99"/>
    <w:semiHidden/>
    <w:rsid w:val="007B07A6"/>
  </w:style>
  <w:style w:type="paragraph" w:styleId="Footer">
    <w:name w:val="footer"/>
    <w:basedOn w:val="Normal"/>
    <w:link w:val="FooterChar"/>
    <w:uiPriority w:val="99"/>
    <w:semiHidden/>
    <w:unhideWhenUsed/>
    <w:rsid w:val="007B07A6"/>
    <w:pPr>
      <w:tabs>
        <w:tab w:val="center" w:pos="4680"/>
        <w:tab w:val="right" w:pos="9360"/>
      </w:tabs>
    </w:pPr>
  </w:style>
  <w:style w:type="character" w:customStyle="1" w:styleId="FooterChar">
    <w:name w:val="Footer Char"/>
    <w:basedOn w:val="DefaultParagraphFont"/>
    <w:link w:val="Footer"/>
    <w:uiPriority w:val="99"/>
    <w:semiHidden/>
    <w:rsid w:val="007B07A6"/>
  </w:style>
  <w:style w:type="character" w:styleId="Strong">
    <w:name w:val="Strong"/>
    <w:basedOn w:val="DefaultParagraphFont"/>
    <w:uiPriority w:val="22"/>
    <w:qFormat/>
    <w:rsid w:val="006513F1"/>
    <w:rPr>
      <w:b/>
      <w:bCs/>
      <w:i w:val="0"/>
      <w:iCs w:val="0"/>
    </w:rPr>
  </w:style>
  <w:style w:type="table" w:styleId="TableGrid">
    <w:name w:val="Table Grid"/>
    <w:basedOn w:val="TableNormal"/>
    <w:uiPriority w:val="59"/>
    <w:rsid w:val="003658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97A89"/>
    <w:rPr>
      <w:color w:val="0000FF" w:themeColor="hyperlink"/>
      <w:u w:val="single"/>
    </w:rPr>
  </w:style>
  <w:style w:type="character" w:styleId="CommentReference">
    <w:name w:val="annotation reference"/>
    <w:basedOn w:val="DefaultParagraphFont"/>
    <w:uiPriority w:val="99"/>
    <w:semiHidden/>
    <w:unhideWhenUsed/>
    <w:rsid w:val="003D7BBE"/>
    <w:rPr>
      <w:sz w:val="16"/>
      <w:szCs w:val="16"/>
    </w:rPr>
  </w:style>
  <w:style w:type="paragraph" w:styleId="CommentText">
    <w:name w:val="annotation text"/>
    <w:basedOn w:val="Normal"/>
    <w:link w:val="CommentTextChar"/>
    <w:uiPriority w:val="99"/>
    <w:semiHidden/>
    <w:unhideWhenUsed/>
    <w:rsid w:val="003D7BBE"/>
  </w:style>
  <w:style w:type="character" w:customStyle="1" w:styleId="CommentTextChar">
    <w:name w:val="Comment Text Char"/>
    <w:basedOn w:val="DefaultParagraphFont"/>
    <w:link w:val="CommentText"/>
    <w:uiPriority w:val="99"/>
    <w:semiHidden/>
    <w:rsid w:val="003D7BBE"/>
  </w:style>
  <w:style w:type="paragraph" w:styleId="CommentSubject">
    <w:name w:val="annotation subject"/>
    <w:basedOn w:val="CommentText"/>
    <w:next w:val="CommentText"/>
    <w:link w:val="CommentSubjectChar"/>
    <w:uiPriority w:val="99"/>
    <w:semiHidden/>
    <w:unhideWhenUsed/>
    <w:rsid w:val="003D7BBE"/>
    <w:rPr>
      <w:b/>
      <w:bCs/>
    </w:rPr>
  </w:style>
  <w:style w:type="character" w:customStyle="1" w:styleId="CommentSubjectChar">
    <w:name w:val="Comment Subject Char"/>
    <w:basedOn w:val="CommentTextChar"/>
    <w:link w:val="CommentSubject"/>
    <w:uiPriority w:val="99"/>
    <w:semiHidden/>
    <w:rsid w:val="003D7BBE"/>
    <w:rPr>
      <w:b/>
      <w:bCs/>
    </w:rPr>
  </w:style>
  <w:style w:type="paragraph" w:styleId="BalloonText">
    <w:name w:val="Balloon Text"/>
    <w:basedOn w:val="Normal"/>
    <w:link w:val="BalloonTextChar"/>
    <w:uiPriority w:val="99"/>
    <w:semiHidden/>
    <w:unhideWhenUsed/>
    <w:rsid w:val="003D7BBE"/>
    <w:rPr>
      <w:rFonts w:ascii="Tahoma" w:hAnsi="Tahoma" w:cs="Tahoma"/>
      <w:sz w:val="16"/>
      <w:szCs w:val="16"/>
    </w:rPr>
  </w:style>
  <w:style w:type="character" w:customStyle="1" w:styleId="BalloonTextChar">
    <w:name w:val="Balloon Text Char"/>
    <w:basedOn w:val="DefaultParagraphFont"/>
    <w:link w:val="BalloonText"/>
    <w:uiPriority w:val="99"/>
    <w:semiHidden/>
    <w:rsid w:val="003D7B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9074315">
      <w:bodyDiv w:val="1"/>
      <w:marLeft w:val="0"/>
      <w:marRight w:val="0"/>
      <w:marTop w:val="0"/>
      <w:marBottom w:val="0"/>
      <w:divBdr>
        <w:top w:val="none" w:sz="0" w:space="0" w:color="auto"/>
        <w:left w:val="none" w:sz="0" w:space="0" w:color="auto"/>
        <w:bottom w:val="none" w:sz="0" w:space="0" w:color="auto"/>
        <w:right w:val="none" w:sz="0" w:space="0" w:color="auto"/>
      </w:divBdr>
      <w:divsChild>
        <w:div w:id="1503621482">
          <w:marLeft w:val="0"/>
          <w:marRight w:val="0"/>
          <w:marTop w:val="210"/>
          <w:marBottom w:val="210"/>
          <w:divBdr>
            <w:top w:val="none" w:sz="0" w:space="0" w:color="auto"/>
            <w:left w:val="none" w:sz="0" w:space="0" w:color="auto"/>
            <w:bottom w:val="none" w:sz="0" w:space="0" w:color="auto"/>
            <w:right w:val="none" w:sz="0" w:space="0" w:color="auto"/>
          </w:divBdr>
          <w:divsChild>
            <w:div w:id="1967616784">
              <w:marLeft w:val="0"/>
              <w:marRight w:val="0"/>
              <w:marTop w:val="0"/>
              <w:marBottom w:val="0"/>
              <w:divBdr>
                <w:top w:val="none" w:sz="0" w:space="0" w:color="auto"/>
                <w:left w:val="none" w:sz="0" w:space="0" w:color="auto"/>
                <w:bottom w:val="none" w:sz="0" w:space="0" w:color="auto"/>
                <w:right w:val="none" w:sz="0" w:space="0" w:color="auto"/>
              </w:divBdr>
              <w:divsChild>
                <w:div w:id="2010794766">
                  <w:marLeft w:val="0"/>
                  <w:marRight w:val="0"/>
                  <w:marTop w:val="0"/>
                  <w:marBottom w:val="0"/>
                  <w:divBdr>
                    <w:top w:val="none" w:sz="0" w:space="0" w:color="auto"/>
                    <w:left w:val="none" w:sz="0" w:space="0" w:color="auto"/>
                    <w:bottom w:val="none" w:sz="0" w:space="0" w:color="auto"/>
                    <w:right w:val="none" w:sz="0" w:space="0" w:color="auto"/>
                  </w:divBdr>
                  <w:divsChild>
                    <w:div w:id="12881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2040">
      <w:bodyDiv w:val="1"/>
      <w:marLeft w:val="0"/>
      <w:marRight w:val="0"/>
      <w:marTop w:val="0"/>
      <w:marBottom w:val="0"/>
      <w:divBdr>
        <w:top w:val="none" w:sz="0" w:space="0" w:color="auto"/>
        <w:left w:val="none" w:sz="0" w:space="0" w:color="auto"/>
        <w:bottom w:val="none" w:sz="0" w:space="0" w:color="auto"/>
        <w:right w:val="none" w:sz="0" w:space="0" w:color="auto"/>
      </w:divBdr>
      <w:divsChild>
        <w:div w:id="720905984">
          <w:marLeft w:val="0"/>
          <w:marRight w:val="0"/>
          <w:marTop w:val="210"/>
          <w:marBottom w:val="210"/>
          <w:divBdr>
            <w:top w:val="none" w:sz="0" w:space="0" w:color="auto"/>
            <w:left w:val="none" w:sz="0" w:space="0" w:color="auto"/>
            <w:bottom w:val="none" w:sz="0" w:space="0" w:color="auto"/>
            <w:right w:val="none" w:sz="0" w:space="0" w:color="auto"/>
          </w:divBdr>
          <w:divsChild>
            <w:div w:id="644239250">
              <w:marLeft w:val="0"/>
              <w:marRight w:val="0"/>
              <w:marTop w:val="0"/>
              <w:marBottom w:val="0"/>
              <w:divBdr>
                <w:top w:val="none" w:sz="0" w:space="0" w:color="auto"/>
                <w:left w:val="none" w:sz="0" w:space="0" w:color="auto"/>
                <w:bottom w:val="none" w:sz="0" w:space="0" w:color="auto"/>
                <w:right w:val="none" w:sz="0" w:space="0" w:color="auto"/>
              </w:divBdr>
              <w:divsChild>
                <w:div w:id="2119566020">
                  <w:marLeft w:val="0"/>
                  <w:marRight w:val="0"/>
                  <w:marTop w:val="0"/>
                  <w:marBottom w:val="0"/>
                  <w:divBdr>
                    <w:top w:val="none" w:sz="0" w:space="0" w:color="auto"/>
                    <w:left w:val="none" w:sz="0" w:space="0" w:color="auto"/>
                    <w:bottom w:val="none" w:sz="0" w:space="0" w:color="auto"/>
                    <w:right w:val="none" w:sz="0" w:space="0" w:color="auto"/>
                  </w:divBdr>
                  <w:divsChild>
                    <w:div w:id="10578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nford.edu/group/ethnoger/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gerirn.org/topics/ethnogeriatrics_and_cultural_competence_for_nursing_practice/want_to_know_mor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BA6A87-F224-4267-BD5C-96C69B85E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2888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dc:creator>
  <cp:lastModifiedBy>Mary</cp:lastModifiedBy>
  <cp:revision>2</cp:revision>
  <dcterms:created xsi:type="dcterms:W3CDTF">2012-04-18T02:10:00Z</dcterms:created>
  <dcterms:modified xsi:type="dcterms:W3CDTF">2012-04-18T02:10:00Z</dcterms:modified>
</cp:coreProperties>
</file>