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6CE" w:rsidRDefault="008816CE" w:rsidP="008816CE">
      <w:pPr>
        <w:pStyle w:val="APABody"/>
      </w:pPr>
    </w:p>
    <w:p w:rsidR="008816CE" w:rsidRDefault="008816CE" w:rsidP="008816CE">
      <w:pPr>
        <w:pStyle w:val="APABody"/>
      </w:pPr>
    </w:p>
    <w:p w:rsidR="008816CE" w:rsidRDefault="008816CE" w:rsidP="008816CE">
      <w:pPr>
        <w:pStyle w:val="APABody"/>
      </w:pPr>
    </w:p>
    <w:p w:rsidR="008816CE" w:rsidRDefault="008816CE" w:rsidP="008816CE">
      <w:pPr>
        <w:pStyle w:val="APABody"/>
      </w:pPr>
    </w:p>
    <w:p w:rsidR="008816CE" w:rsidRDefault="008816CE" w:rsidP="008816CE">
      <w:pPr>
        <w:pStyle w:val="APABody"/>
      </w:pPr>
    </w:p>
    <w:p w:rsidR="008816CE" w:rsidRDefault="008816CE" w:rsidP="008816CE">
      <w:pPr>
        <w:pStyle w:val="APABody"/>
      </w:pPr>
    </w:p>
    <w:p w:rsidR="008816CE" w:rsidRDefault="008816CE" w:rsidP="008816CE">
      <w:pPr>
        <w:pStyle w:val="APACenteredText"/>
      </w:pPr>
      <w:r>
        <w:t>Community Assessment Project</w:t>
      </w:r>
    </w:p>
    <w:p w:rsidR="008816CE" w:rsidRDefault="008816CE" w:rsidP="008816CE">
      <w:pPr>
        <w:pStyle w:val="APACenteredText"/>
      </w:pPr>
      <w:r>
        <w:t>RN404 Community Health Nursing</w:t>
      </w:r>
    </w:p>
    <w:p w:rsidR="008816CE" w:rsidRDefault="008816CE" w:rsidP="008816CE">
      <w:pPr>
        <w:pStyle w:val="APACenteredText"/>
      </w:pPr>
      <w:r>
        <w:t>Tenik</w:t>
      </w:r>
      <w:r w:rsidR="00E5732C">
        <w:t>a Mcmillian, Alicia Northen,</w:t>
      </w:r>
      <w:r>
        <w:t xml:space="preserve"> Sheila Roth</w:t>
      </w:r>
      <w:r w:rsidR="00E5732C">
        <w:t xml:space="preserve">, and </w:t>
      </w:r>
      <w:r w:rsidR="00E5732C">
        <w:t>Lori A.Turner,</w:t>
      </w:r>
    </w:p>
    <w:p w:rsidR="008816CE" w:rsidRDefault="008816CE" w:rsidP="008816CE">
      <w:pPr>
        <w:pStyle w:val="APACenteredText"/>
      </w:pPr>
      <w:r>
        <w:t>Lakeview College of Nursing</w:t>
      </w:r>
    </w:p>
    <w:p w:rsidR="008816CE" w:rsidRDefault="008816CE" w:rsidP="008816CE">
      <w:pPr>
        <w:pStyle w:val="APABody"/>
      </w:pPr>
      <w:r>
        <w:br w:type="page"/>
      </w:r>
    </w:p>
    <w:p w:rsidR="008816CE" w:rsidRDefault="008816CE" w:rsidP="008816CE">
      <w:pPr>
        <w:pStyle w:val="APACenteredText"/>
      </w:pPr>
      <w:r>
        <w:lastRenderedPageBreak/>
        <w:t>Community Assessment Project RN404 Community Health Nursing</w:t>
      </w:r>
    </w:p>
    <w:p w:rsidR="00B35B1B" w:rsidRDefault="00001B1C" w:rsidP="008816CE">
      <w:pPr>
        <w:pStyle w:val="APABody"/>
      </w:pPr>
      <w:bookmarkStart w:id="0" w:name="CurLocation"/>
      <w:bookmarkEnd w:id="0"/>
      <w:r>
        <w:t>This windshield survey was conducted multiple times during different times of the day.  During assessing the homes in this town, it was noted most of the homes were approximately the same age</w:t>
      </w:r>
      <w:r w:rsidR="00B35B1B">
        <w:t xml:space="preserve"> with similar styles.  Most styles were Ranch with occasional Cape Cod or Bungalow styles.  All homes appeared to be older but well kept.  It was noted the homes on the south side of route 133 were more run down and had more mobile homes with less upkeep.  It appeared to be where the low socioeconomically class lived.  Most homes had moderately sized yards and were not spaced real close together.  In general, the neighborhoods were status quo.  No new developments occurring and rare abandoned homes.</w:t>
      </w:r>
    </w:p>
    <w:p w:rsidR="008816CE" w:rsidRDefault="00B35B1B" w:rsidP="008816CE">
      <w:pPr>
        <w:pStyle w:val="APABody"/>
      </w:pPr>
      <w:r>
        <w:t xml:space="preserve">The center of the town had a square </w:t>
      </w:r>
      <w:r w:rsidR="007505FE">
        <w:t xml:space="preserve">that is an open grassy area.  The square </w:t>
      </w:r>
      <w:r w:rsidR="00F154C9">
        <w:t xml:space="preserve">is </w:t>
      </w:r>
      <w:r w:rsidR="007505FE">
        <w:t>where</w:t>
      </w:r>
      <w:r>
        <w:t xml:space="preserve"> some </w:t>
      </w:r>
      <w:r w:rsidR="007505FE">
        <w:t xml:space="preserve">local </w:t>
      </w:r>
      <w:r>
        <w:t>businesses</w:t>
      </w:r>
      <w:r w:rsidR="007505FE">
        <w:t xml:space="preserve"> are located</w:t>
      </w:r>
      <w:r>
        <w:t xml:space="preserve">.  </w:t>
      </w:r>
      <w:r w:rsidR="00E57917">
        <w:t>During business hours, many people are seen frequenting the established businesses. During the evening hours, no one was noted to be around the square.  The north side of the square has</w:t>
      </w:r>
      <w:r>
        <w:t xml:space="preserve"> the Christian Church</w:t>
      </w:r>
      <w:r w:rsidR="00CD71BB">
        <w:t xml:space="preserve"> and one block north of this church is the Methodist Church</w:t>
      </w:r>
      <w:r>
        <w:t xml:space="preserve">. </w:t>
      </w:r>
      <w:r w:rsidR="00CD71BB">
        <w:t xml:space="preserve">Two Baptist Churches are located outside of town.  One church is located south west of </w:t>
      </w:r>
      <w:r w:rsidR="00CF4983">
        <w:t>town;</w:t>
      </w:r>
      <w:r w:rsidR="00CD71BB">
        <w:t xml:space="preserve"> the other church is north of town. </w:t>
      </w:r>
      <w:r>
        <w:t xml:space="preserve"> To the east, there is an insurance company, a furniture store, a beauty and barber shop, and a bank.  To the south of the town square, there is a building that has been </w:t>
      </w:r>
      <w:r w:rsidR="001F6D34">
        <w:t xml:space="preserve">rebuilt that the community uses for social activities and gatherings.  It is the Columbia Building.  It can be rented for social gatherings.  There is a newspaper building, the Noodle Company, a bank, a variety store that sells paint, T-shirts, sweat shirts that can have the school mascot applied, flowers, movie rentals, jewelry, and other nik naks.  There are also empty buildings along this </w:t>
      </w:r>
      <w:r w:rsidR="00C111F4">
        <w:t>side of the square.  To the east</w:t>
      </w:r>
      <w:r w:rsidR="001F6D34">
        <w:t xml:space="preserve">, there is a small </w:t>
      </w:r>
      <w:r w:rsidR="00F154C9">
        <w:t>restaurant</w:t>
      </w:r>
      <w:r w:rsidR="009B2F6D">
        <w:t xml:space="preserve"> and a farm implement</w:t>
      </w:r>
      <w:r w:rsidR="00C111F4">
        <w:t xml:space="preserve"> store.  A few block further east, a modern funeral home is noted, a lumber yard and a Crop Production business is noted.  </w:t>
      </w:r>
      <w:r w:rsidR="001F6D34">
        <w:t xml:space="preserve"> </w:t>
      </w:r>
      <w:r>
        <w:t xml:space="preserve"> </w:t>
      </w:r>
      <w:r w:rsidR="00F154C9">
        <w:t xml:space="preserve">Within a block west of the </w:t>
      </w:r>
      <w:r w:rsidR="00F154C9">
        <w:lastRenderedPageBreak/>
        <w:t>square, there is a library, a senior citizen building that provides meals to seniors and meals on wheels, and a grocery store.  Just south of t</w:t>
      </w:r>
      <w:r w:rsidR="008D1515">
        <w:t>he library, there is an independent</w:t>
      </w:r>
      <w:r w:rsidR="00F154C9">
        <w:t xml:space="preserve"> living facility called the Oaks Manor.  It is a small apartment like complex that houses 13 small apartments for seniors.  To the east of the square, there is an antique store, the food pantry, a used clothing store, and another restaurant. </w:t>
      </w:r>
      <w:r w:rsidR="00CD71BB">
        <w:t xml:space="preserve">The </w:t>
      </w:r>
      <w:r w:rsidR="00CF4983">
        <w:t>North West</w:t>
      </w:r>
      <w:r w:rsidR="00CD71BB">
        <w:t xml:space="preserve"> side of town includes a swimming pool and a golf course. </w:t>
      </w:r>
      <w:r w:rsidR="008D1515">
        <w:t xml:space="preserve">  The town does not have health care or dental care available.</w:t>
      </w:r>
      <w:r w:rsidR="00E57917">
        <w:t xml:space="preserve">  The nearest hospital is to the east approximately 18 miles.</w:t>
      </w:r>
    </w:p>
    <w:p w:rsidR="00F154C9" w:rsidRDefault="00F154C9" w:rsidP="008816CE">
      <w:pPr>
        <w:pStyle w:val="APABody"/>
      </w:pPr>
      <w:r>
        <w:t xml:space="preserve">The town is divided by route 133 that runs east and west.  There is the county road the locals refer to as the Oakland/Ashmore road that runs south of route 133.  Walnut </w:t>
      </w:r>
      <w:r w:rsidR="00E57917">
        <w:t>Street</w:t>
      </w:r>
      <w:r>
        <w:t xml:space="preserve"> runs north </w:t>
      </w:r>
      <w:r w:rsidR="00E57917">
        <w:t xml:space="preserve">out </w:t>
      </w:r>
      <w:r>
        <w:t>of town just west of the square.</w:t>
      </w:r>
      <w:r w:rsidR="00E57917">
        <w:t xml:space="preserve">  </w:t>
      </w:r>
      <w:r w:rsidR="00730E2E">
        <w:t>These roads are in good shape and transportation was noted in private vehicles</w:t>
      </w:r>
      <w:r w:rsidR="00B27C1B">
        <w:t xml:space="preserve"> in and out of town</w:t>
      </w:r>
      <w:r w:rsidR="00730E2E">
        <w:t xml:space="preserve">.  No public transportation is available in this community.  </w:t>
      </w:r>
      <w:r w:rsidR="00E57917">
        <w:t>Route 133 divides the town into north and south, the Oakland/Ashmore road and Walnut Street divides the town into east and west.  There are two gas stations on the south east of the town.  One gas station is Casey’s General Store that sells food and a few grocery items.  The other gas station provides mechanical repairs for automobiles.</w:t>
      </w:r>
      <w:r w:rsidR="00B27C1B">
        <w:t xml:space="preserve">  Just south of route 133 is the fire house, the ambulance garage, a car wash, laundry mat, and a vehicle body shop.  The town appears to be thriving.</w:t>
      </w:r>
    </w:p>
    <w:p w:rsidR="009B2F6D" w:rsidRDefault="009B2F6D" w:rsidP="008816CE">
      <w:pPr>
        <w:pStyle w:val="APABody"/>
      </w:pPr>
      <w:r>
        <w:t xml:space="preserve">Occasionally noted were older adults walking early in the morning before work hours.  No children were observed playing ball, bike riding or any other physical activities. </w:t>
      </w:r>
    </w:p>
    <w:p w:rsidR="00A924EF" w:rsidRDefault="00A924EF" w:rsidP="008816CE">
      <w:pPr>
        <w:pStyle w:val="APABody"/>
      </w:pPr>
      <w:r>
        <w:t xml:space="preserve">The school is located on the north east side of town.    North of the school is the town park.  </w:t>
      </w:r>
      <w:r w:rsidR="00CF4983">
        <w:t xml:space="preserve">The town also has a small lake just north of the park.  </w:t>
      </w:r>
      <w:r>
        <w:t>No one was observed visiting the park</w:t>
      </w:r>
      <w:r w:rsidR="00CF4983">
        <w:t xml:space="preserve"> or lake</w:t>
      </w:r>
      <w:r>
        <w:t>.</w:t>
      </w:r>
    </w:p>
    <w:p w:rsidR="009B2F6D" w:rsidRDefault="009B2F6D" w:rsidP="008816CE">
      <w:pPr>
        <w:pStyle w:val="APABody"/>
      </w:pPr>
      <w:r>
        <w:lastRenderedPageBreak/>
        <w:t>The general race appears to be dominantly white.</w:t>
      </w:r>
      <w:r w:rsidR="00A924EF">
        <w:t xml:space="preserve">  One Hispanic child, two Asian children and one African American child noted.  Parents / guardians of these children are white. </w:t>
      </w:r>
      <w:r>
        <w:t xml:space="preserve"> </w:t>
      </w:r>
    </w:p>
    <w:p w:rsidR="001A111F" w:rsidRDefault="001A111F" w:rsidP="008816CE">
      <w:pPr>
        <w:pStyle w:val="APABody"/>
      </w:pPr>
      <w:r>
        <w:t>Because there was minimal physical activity noted throughout the town, the risk for obesity is prevalent in this town.  Several people were interviewed and many voiced the concern of increased childhood obesity as well as the adults due to limited activities in the community.</w:t>
      </w:r>
      <w:r w:rsidR="00BE731D">
        <w:t xml:space="preserve">  One interview was with the school nurse, Vivian Hudson.  Vivian is taking an active role in the community to help address this risk.  Some of the activities she has organized are the community 5k race and 1k walk having open gym for physical activities,</w:t>
      </w:r>
      <w:bookmarkStart w:id="1" w:name="_GoBack"/>
      <w:bookmarkEnd w:id="1"/>
      <w:r w:rsidR="00BE731D">
        <w:t xml:space="preserve"> and encouraging family walk night.  She has also been instrumental in changing meals and snacks the school is offering such as placing a salad bar in the cafeteria for lunches.</w:t>
      </w:r>
    </w:p>
    <w:p w:rsidR="00F154C9" w:rsidRDefault="00F154C9" w:rsidP="008816CE">
      <w:pPr>
        <w:pStyle w:val="APABody"/>
      </w:pPr>
    </w:p>
    <w:p w:rsidR="008816CE" w:rsidRDefault="008816CE" w:rsidP="008816CE">
      <w:pPr>
        <w:pStyle w:val="APABody"/>
      </w:pPr>
    </w:p>
    <w:p w:rsidR="00B067A5" w:rsidRDefault="00B067A5" w:rsidP="008816CE">
      <w:pPr>
        <w:pStyle w:val="APABody"/>
      </w:pPr>
      <w:r w:rsidRPr="00B067A5">
        <w:t xml:space="preserve"> </w:t>
      </w:r>
    </w:p>
    <w:p w:rsidR="00001B1C" w:rsidRPr="00001B1C" w:rsidRDefault="008816CE" w:rsidP="00001B1C">
      <w:pPr>
        <w:pStyle w:val="title"/>
        <w:rPr>
          <w:rFonts w:ascii="Georgia" w:hAnsi="Georgia"/>
          <w:color w:val="000000"/>
          <w:lang w:val="en"/>
        </w:rPr>
      </w:pPr>
      <w:r>
        <w:br w:type="page"/>
      </w:r>
      <w:bookmarkStart w:id="2" w:name="fig1"/>
      <w:bookmarkEnd w:id="2"/>
      <w:r w:rsidR="00001B1C" w:rsidRPr="00001B1C">
        <w:rPr>
          <w:rFonts w:ascii="Georgia" w:hAnsi="Georgia"/>
          <w:b/>
          <w:bCs/>
          <w:color w:val="000000"/>
          <w:lang w:val="en"/>
        </w:rPr>
        <w:lastRenderedPageBreak/>
        <w:t>FIGURE 1. Prevalence of obesity among children and adolescents, by age group --- United States, 1963--2008</w:t>
      </w:r>
    </w:p>
    <w:p w:rsidR="00001B1C" w:rsidRPr="00001B1C" w:rsidRDefault="00001B1C" w:rsidP="00001B1C">
      <w:pPr>
        <w:spacing w:line="240" w:lineRule="auto"/>
        <w:rPr>
          <w:rFonts w:ascii="Georgia" w:eastAsia="Times New Roman" w:hAnsi="Georgia" w:cs="Times New Roman"/>
          <w:color w:val="000000"/>
          <w:szCs w:val="24"/>
          <w:lang w:val="en"/>
        </w:rPr>
      </w:pPr>
      <w:r w:rsidRPr="00001B1C">
        <w:rPr>
          <w:rFonts w:ascii="Georgia" w:eastAsia="Times New Roman" w:hAnsi="Georgia" w:cs="Times New Roman"/>
          <w:noProof/>
          <w:color w:val="000000"/>
          <w:szCs w:val="24"/>
        </w:rPr>
        <w:drawing>
          <wp:inline distT="0" distB="0" distL="0" distR="0" wp14:anchorId="293EDE09" wp14:editId="6BD8D4FC">
            <wp:extent cx="5886450" cy="2390775"/>
            <wp:effectExtent l="0" t="0" r="0" b="9525"/>
            <wp:docPr id="1" name="Picture 1" descr="The figure shows the prevalence of obesity among children and adolescents, by age group, in the United States during 1963-2008. In the United States, childhood obesity affects approximately 12.5 million children and teens (17% of that population). Changes in obesity prevalence from the 1960s show a rapid increase in the 1980s and 1990s, when obesity prevalence among children and teens tripled from nearly 5% to approximately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figure shows the prevalence of obesity among children and adolescents, by age group, in the United States during 1963-2008. In the United States, childhood obesity affects approximately 12.5 million children and teens (17% of that population). Changes in obesity prevalence from the 1960s show a rapid increase in the 1980s and 1990s, when obesity prevalence among children and teens tripled from nearly 5% to approximately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6450" cy="2390775"/>
                    </a:xfrm>
                    <a:prstGeom prst="rect">
                      <a:avLst/>
                    </a:prstGeom>
                    <a:noFill/>
                    <a:ln>
                      <a:noFill/>
                    </a:ln>
                  </pic:spPr>
                </pic:pic>
              </a:graphicData>
            </a:graphic>
          </wp:inline>
        </w:drawing>
      </w:r>
    </w:p>
    <w:p w:rsidR="00001B1C" w:rsidRPr="00001B1C" w:rsidRDefault="00001B1C" w:rsidP="00001B1C">
      <w:pPr>
        <w:spacing w:after="180" w:line="240" w:lineRule="auto"/>
        <w:rPr>
          <w:rFonts w:ascii="Georgia" w:eastAsia="Times New Roman" w:hAnsi="Georgia" w:cs="Times New Roman"/>
          <w:color w:val="000000"/>
          <w:szCs w:val="24"/>
          <w:lang w:val="en"/>
        </w:rPr>
      </w:pPr>
      <w:r w:rsidRPr="00001B1C">
        <w:rPr>
          <w:rFonts w:ascii="Georgia" w:eastAsia="Times New Roman" w:hAnsi="Georgia" w:cs="Times New Roman"/>
          <w:b/>
          <w:bCs/>
          <w:color w:val="000000"/>
          <w:szCs w:val="24"/>
          <w:lang w:val="en"/>
        </w:rPr>
        <w:t>Alternate Text:</w:t>
      </w:r>
      <w:r w:rsidRPr="00001B1C">
        <w:rPr>
          <w:rFonts w:ascii="Georgia" w:eastAsia="Times New Roman" w:hAnsi="Georgia" w:cs="Times New Roman"/>
          <w:color w:val="000000"/>
          <w:szCs w:val="24"/>
          <w:lang w:val="en"/>
        </w:rPr>
        <w:t xml:space="preserve"> The figure above shows the prevalence of obesity among children and adolescents, by age group, in the United States during 1963-2008. In the United States, childhood obesity affects approximately 12.5 million children and teens (17% of that population). Changes in obesity prevalence from the 1960s show a rapid increase in the 1980s and 1990s, when obesity prevalence among children and teens tripled from nearly 5% to approximately 15%. </w:t>
      </w:r>
    </w:p>
    <w:p w:rsidR="00001B1C" w:rsidRPr="00001B1C" w:rsidRDefault="00001B1C" w:rsidP="00001B1C">
      <w:pPr>
        <w:spacing w:line="240" w:lineRule="auto"/>
        <w:rPr>
          <w:rFonts w:ascii="Georgia" w:eastAsia="Times New Roman" w:hAnsi="Georgia" w:cs="Times New Roman"/>
          <w:color w:val="000000"/>
          <w:szCs w:val="24"/>
          <w:lang w:val="en"/>
        </w:rPr>
      </w:pPr>
    </w:p>
    <w:p w:rsidR="00001B1C" w:rsidRPr="00001B1C" w:rsidRDefault="00001B1C" w:rsidP="00001B1C">
      <w:pPr>
        <w:spacing w:after="180" w:line="240" w:lineRule="auto"/>
        <w:rPr>
          <w:rFonts w:ascii="Georgia" w:eastAsia="Times New Roman" w:hAnsi="Georgia" w:cs="Times New Roman"/>
          <w:color w:val="000000"/>
          <w:szCs w:val="24"/>
          <w:lang w:val="en"/>
        </w:rPr>
      </w:pPr>
      <w:bookmarkStart w:id="3" w:name="fig2"/>
      <w:bookmarkEnd w:id="3"/>
      <w:r w:rsidRPr="00001B1C">
        <w:rPr>
          <w:rFonts w:ascii="Georgia" w:eastAsia="Times New Roman" w:hAnsi="Georgia" w:cs="Times New Roman"/>
          <w:b/>
          <w:bCs/>
          <w:color w:val="000000"/>
          <w:szCs w:val="24"/>
          <w:lang w:val="en"/>
        </w:rPr>
        <w:t>FIGURE 2. Prevalence of obesity among children and adolescents, by sex, age group, and race/ethnicity --- United States, 2007--2008</w:t>
      </w:r>
    </w:p>
    <w:p w:rsidR="00001B1C" w:rsidRPr="00001B1C" w:rsidRDefault="00001B1C" w:rsidP="00001B1C">
      <w:pPr>
        <w:spacing w:line="240" w:lineRule="auto"/>
        <w:rPr>
          <w:rFonts w:ascii="Georgia" w:eastAsia="Times New Roman" w:hAnsi="Georgia" w:cs="Times New Roman"/>
          <w:color w:val="000000"/>
          <w:szCs w:val="24"/>
          <w:lang w:val="en"/>
        </w:rPr>
      </w:pPr>
      <w:r w:rsidRPr="00001B1C">
        <w:rPr>
          <w:rFonts w:ascii="Georgia" w:eastAsia="Times New Roman" w:hAnsi="Georgia" w:cs="Times New Roman"/>
          <w:noProof/>
          <w:color w:val="000000"/>
          <w:szCs w:val="24"/>
        </w:rPr>
        <w:drawing>
          <wp:inline distT="0" distB="0" distL="0" distR="0" wp14:anchorId="786FBFF4" wp14:editId="7223EFF2">
            <wp:extent cx="5753100" cy="2209800"/>
            <wp:effectExtent l="0" t="0" r="0" b="0"/>
            <wp:docPr id="2" name="Picture 2" descr="The figure shows the prevalence of obesity among children and adolescents, by sex, age group, and race/ethnicity, in the United States during 2007-2008. During the past 10 years, the rapid increase in obesity has slowed and might have leveled. However, among the heaviest boys, a significant increase in obesity has been observed, with the heaviest getting even heavier. Moreover, substantial racial/ethnic disparities exist, with Hispanic boys and non-Hispanic black girls disproportionately affected by obe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figure shows the prevalence of obesity among children and adolescents, by sex, age group, and race/ethnicity, in the United States during 2007-2008. During the past 10 years, the rapid increase in obesity has slowed and might have leveled. However, among the heaviest boys, a significant increase in obesity has been observed, with the heaviest getting even heavier. Moreover, substantial racial/ethnic disparities exist, with Hispanic boys and non-Hispanic black girls disproportionately affected by obesit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2209800"/>
                    </a:xfrm>
                    <a:prstGeom prst="rect">
                      <a:avLst/>
                    </a:prstGeom>
                    <a:noFill/>
                    <a:ln>
                      <a:noFill/>
                    </a:ln>
                  </pic:spPr>
                </pic:pic>
              </a:graphicData>
            </a:graphic>
          </wp:inline>
        </w:drawing>
      </w:r>
    </w:p>
    <w:p w:rsidR="008816CE" w:rsidRDefault="00001B1C" w:rsidP="008816CE">
      <w:pPr>
        <w:pStyle w:val="APABody"/>
      </w:pPr>
      <w:r w:rsidRPr="00001B1C">
        <w:t>http://www.cdc.gov/mmwr/preview/mmwrhtml/mm6002a2.htm?s_cid=mm6002a2_w</w:t>
      </w:r>
    </w:p>
    <w:p w:rsidR="008816CE" w:rsidRDefault="008816CE" w:rsidP="008816CE">
      <w:pPr>
        <w:pStyle w:val="APACenteredText"/>
      </w:pPr>
      <w:r>
        <w:t>References</w:t>
      </w:r>
    </w:p>
    <w:p w:rsidR="008816CE" w:rsidRDefault="008816CE" w:rsidP="008816CE">
      <w:pPr>
        <w:pStyle w:val="References"/>
      </w:pPr>
      <w:bookmarkStart w:id="4" w:name="ReferencesBookmark"/>
      <w:r>
        <w:t>zzzzzzz ======Reference placeholder, don't delete====== zzzzzz</w:t>
      </w:r>
      <w:bookmarkEnd w:id="4"/>
    </w:p>
    <w:p w:rsidR="008816CE" w:rsidRDefault="008816CE" w:rsidP="008816CE">
      <w:pPr>
        <w:pStyle w:val="APABody"/>
      </w:pPr>
      <w:r>
        <w:br w:type="page"/>
      </w:r>
    </w:p>
    <w:p w:rsidR="008816CE" w:rsidRPr="00B067A5" w:rsidRDefault="008816CE" w:rsidP="008816CE">
      <w:pPr>
        <w:pStyle w:val="APABody"/>
      </w:pPr>
    </w:p>
    <w:sectPr w:rsidR="008816CE" w:rsidRPr="00B067A5" w:rsidSect="008816CE">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5C9" w:rsidRDefault="00B255C9" w:rsidP="00B32BB6">
      <w:pPr>
        <w:spacing w:line="240" w:lineRule="auto"/>
      </w:pPr>
      <w:r>
        <w:separator/>
      </w:r>
    </w:p>
  </w:endnote>
  <w:endnote w:type="continuationSeparator" w:id="0">
    <w:p w:rsidR="00B255C9" w:rsidRDefault="00B255C9" w:rsidP="00B32B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5C9" w:rsidRDefault="00B255C9" w:rsidP="00B32BB6">
      <w:pPr>
        <w:spacing w:line="240" w:lineRule="auto"/>
      </w:pPr>
      <w:r>
        <w:separator/>
      </w:r>
    </w:p>
  </w:footnote>
  <w:footnote w:type="continuationSeparator" w:id="0">
    <w:p w:rsidR="00B255C9" w:rsidRDefault="00B255C9" w:rsidP="00B32BB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6CE" w:rsidRPr="008816CE" w:rsidRDefault="008816CE" w:rsidP="008816CE">
    <w:pPr>
      <w:pStyle w:val="APAHeader"/>
      <w:tabs>
        <w:tab w:val="right" w:pos="9360"/>
      </w:tabs>
    </w:pPr>
    <w:r>
      <w:t>COMMUNITY ASSESSMENT</w:t>
    </w:r>
    <w:r>
      <w:tab/>
    </w:r>
    <w:r>
      <w:fldChar w:fldCharType="begin"/>
    </w:r>
    <w:r>
      <w:instrText xml:space="preserve"> PAGE  \* MERGEFORMAT </w:instrText>
    </w:r>
    <w:r>
      <w:fldChar w:fldCharType="separate"/>
    </w:r>
    <w:r w:rsidR="00BE731D">
      <w:rPr>
        <w:noProof/>
      </w:rPr>
      <w:t>4</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6CE" w:rsidRPr="008816CE" w:rsidRDefault="008816CE" w:rsidP="008816CE">
    <w:pPr>
      <w:pStyle w:val="APAHeader"/>
      <w:tabs>
        <w:tab w:val="right" w:pos="9360"/>
      </w:tabs>
    </w:pPr>
    <w:r>
      <w:t>Running head: COMMUNITY ASSESSMENT</w:t>
    </w:r>
    <w:r>
      <w:tab/>
    </w:r>
    <w:r>
      <w:fldChar w:fldCharType="begin"/>
    </w:r>
    <w:r>
      <w:instrText xml:space="preserve"> PAGE  \* MERGEFORMAT </w:instrText>
    </w:r>
    <w:r>
      <w:fldChar w:fldCharType="separate"/>
    </w:r>
    <w:r w:rsidR="00B27C1B">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
  <w:docVars>
    <w:docVar w:name="rpsAdvancedSort" w:val="True"/>
    <w:docVar w:name="rpsAutoSort" w:val="True"/>
    <w:docVar w:name="rpsInsertCitation" w:val="True"/>
    <w:docVar w:name="rpsReferencePageCreated" w:val="True"/>
    <w:docVar w:name="rpsSaveCitation" w:val="True"/>
  </w:docVars>
  <w:rsids>
    <w:rsidRoot w:val="008816CE"/>
    <w:rsid w:val="00001605"/>
    <w:rsid w:val="00001B1C"/>
    <w:rsid w:val="000045D4"/>
    <w:rsid w:val="00004D04"/>
    <w:rsid w:val="00005BC0"/>
    <w:rsid w:val="00007E24"/>
    <w:rsid w:val="00011D3E"/>
    <w:rsid w:val="00013431"/>
    <w:rsid w:val="000143E9"/>
    <w:rsid w:val="00014CF8"/>
    <w:rsid w:val="00014ED4"/>
    <w:rsid w:val="000153A1"/>
    <w:rsid w:val="00016099"/>
    <w:rsid w:val="00016A76"/>
    <w:rsid w:val="00016C0D"/>
    <w:rsid w:val="000179AE"/>
    <w:rsid w:val="000223F0"/>
    <w:rsid w:val="000237AC"/>
    <w:rsid w:val="0002593A"/>
    <w:rsid w:val="00025DEB"/>
    <w:rsid w:val="000276CD"/>
    <w:rsid w:val="00030204"/>
    <w:rsid w:val="0003040F"/>
    <w:rsid w:val="00030FBF"/>
    <w:rsid w:val="00040695"/>
    <w:rsid w:val="0004070C"/>
    <w:rsid w:val="000411EC"/>
    <w:rsid w:val="00042B54"/>
    <w:rsid w:val="00043611"/>
    <w:rsid w:val="00043805"/>
    <w:rsid w:val="000503E8"/>
    <w:rsid w:val="0005046C"/>
    <w:rsid w:val="00050E04"/>
    <w:rsid w:val="000514F7"/>
    <w:rsid w:val="000515F0"/>
    <w:rsid w:val="000529F2"/>
    <w:rsid w:val="0005568B"/>
    <w:rsid w:val="00057005"/>
    <w:rsid w:val="00060F15"/>
    <w:rsid w:val="00061412"/>
    <w:rsid w:val="00067091"/>
    <w:rsid w:val="0007086A"/>
    <w:rsid w:val="00070DE6"/>
    <w:rsid w:val="00072832"/>
    <w:rsid w:val="0007432E"/>
    <w:rsid w:val="00074C85"/>
    <w:rsid w:val="00074D48"/>
    <w:rsid w:val="0007725D"/>
    <w:rsid w:val="00082EC4"/>
    <w:rsid w:val="0008434F"/>
    <w:rsid w:val="000843A5"/>
    <w:rsid w:val="0008507C"/>
    <w:rsid w:val="00086E33"/>
    <w:rsid w:val="000910CC"/>
    <w:rsid w:val="000911AE"/>
    <w:rsid w:val="00092B07"/>
    <w:rsid w:val="000933F6"/>
    <w:rsid w:val="00094375"/>
    <w:rsid w:val="000952AE"/>
    <w:rsid w:val="000A0A97"/>
    <w:rsid w:val="000A2023"/>
    <w:rsid w:val="000A2069"/>
    <w:rsid w:val="000A3E47"/>
    <w:rsid w:val="000A3F41"/>
    <w:rsid w:val="000A506F"/>
    <w:rsid w:val="000A5546"/>
    <w:rsid w:val="000A5C25"/>
    <w:rsid w:val="000A65FB"/>
    <w:rsid w:val="000A6C5E"/>
    <w:rsid w:val="000B0A9C"/>
    <w:rsid w:val="000B37DB"/>
    <w:rsid w:val="000B3899"/>
    <w:rsid w:val="000B3E80"/>
    <w:rsid w:val="000B78FB"/>
    <w:rsid w:val="000C005E"/>
    <w:rsid w:val="000C130A"/>
    <w:rsid w:val="000C18A3"/>
    <w:rsid w:val="000C5E73"/>
    <w:rsid w:val="000C76FA"/>
    <w:rsid w:val="000C7B3D"/>
    <w:rsid w:val="000D0037"/>
    <w:rsid w:val="000D363F"/>
    <w:rsid w:val="000D4102"/>
    <w:rsid w:val="000D4325"/>
    <w:rsid w:val="000D532B"/>
    <w:rsid w:val="000D6359"/>
    <w:rsid w:val="000D687F"/>
    <w:rsid w:val="000D6BB3"/>
    <w:rsid w:val="000D7148"/>
    <w:rsid w:val="000E0FDD"/>
    <w:rsid w:val="000E22F5"/>
    <w:rsid w:val="000E252A"/>
    <w:rsid w:val="000E3707"/>
    <w:rsid w:val="000E3B59"/>
    <w:rsid w:val="000E5BC2"/>
    <w:rsid w:val="000F22D0"/>
    <w:rsid w:val="000F47A5"/>
    <w:rsid w:val="00104697"/>
    <w:rsid w:val="00106B35"/>
    <w:rsid w:val="00106D6B"/>
    <w:rsid w:val="001114AF"/>
    <w:rsid w:val="00112291"/>
    <w:rsid w:val="0011329A"/>
    <w:rsid w:val="001219A1"/>
    <w:rsid w:val="001222D8"/>
    <w:rsid w:val="0012480F"/>
    <w:rsid w:val="00125263"/>
    <w:rsid w:val="00131CF6"/>
    <w:rsid w:val="0013278C"/>
    <w:rsid w:val="00132DD7"/>
    <w:rsid w:val="00134293"/>
    <w:rsid w:val="001355A1"/>
    <w:rsid w:val="00137741"/>
    <w:rsid w:val="00146EEC"/>
    <w:rsid w:val="00147066"/>
    <w:rsid w:val="0015035D"/>
    <w:rsid w:val="001519FB"/>
    <w:rsid w:val="00154A37"/>
    <w:rsid w:val="001557D3"/>
    <w:rsid w:val="00155DC4"/>
    <w:rsid w:val="001568E5"/>
    <w:rsid w:val="00163322"/>
    <w:rsid w:val="00163497"/>
    <w:rsid w:val="00163A5F"/>
    <w:rsid w:val="00166DFC"/>
    <w:rsid w:val="00171521"/>
    <w:rsid w:val="00171D5E"/>
    <w:rsid w:val="00172729"/>
    <w:rsid w:val="0017350F"/>
    <w:rsid w:val="001763B1"/>
    <w:rsid w:val="00182836"/>
    <w:rsid w:val="001852ED"/>
    <w:rsid w:val="00193252"/>
    <w:rsid w:val="001947BA"/>
    <w:rsid w:val="00196647"/>
    <w:rsid w:val="001971CF"/>
    <w:rsid w:val="0019737D"/>
    <w:rsid w:val="00197689"/>
    <w:rsid w:val="001A111F"/>
    <w:rsid w:val="001A17E3"/>
    <w:rsid w:val="001A2795"/>
    <w:rsid w:val="001A3806"/>
    <w:rsid w:val="001A4E16"/>
    <w:rsid w:val="001A6632"/>
    <w:rsid w:val="001A6B58"/>
    <w:rsid w:val="001A72B1"/>
    <w:rsid w:val="001A755C"/>
    <w:rsid w:val="001B0D4E"/>
    <w:rsid w:val="001B155D"/>
    <w:rsid w:val="001B3160"/>
    <w:rsid w:val="001B574A"/>
    <w:rsid w:val="001B60B8"/>
    <w:rsid w:val="001B791C"/>
    <w:rsid w:val="001C0213"/>
    <w:rsid w:val="001C2114"/>
    <w:rsid w:val="001C4BCF"/>
    <w:rsid w:val="001C6487"/>
    <w:rsid w:val="001C7E69"/>
    <w:rsid w:val="001D3407"/>
    <w:rsid w:val="001D5D7A"/>
    <w:rsid w:val="001D75CF"/>
    <w:rsid w:val="001E0437"/>
    <w:rsid w:val="001E0646"/>
    <w:rsid w:val="001E4519"/>
    <w:rsid w:val="001E4AFD"/>
    <w:rsid w:val="001E5DB6"/>
    <w:rsid w:val="001E7BD9"/>
    <w:rsid w:val="001F055C"/>
    <w:rsid w:val="001F158C"/>
    <w:rsid w:val="001F1758"/>
    <w:rsid w:val="001F1809"/>
    <w:rsid w:val="001F5EE8"/>
    <w:rsid w:val="001F697E"/>
    <w:rsid w:val="001F6B38"/>
    <w:rsid w:val="001F6D34"/>
    <w:rsid w:val="001F6FAF"/>
    <w:rsid w:val="001F7C9C"/>
    <w:rsid w:val="002028FE"/>
    <w:rsid w:val="00204AEE"/>
    <w:rsid w:val="00204FB9"/>
    <w:rsid w:val="00205B67"/>
    <w:rsid w:val="00207484"/>
    <w:rsid w:val="00212CAD"/>
    <w:rsid w:val="00213C19"/>
    <w:rsid w:val="002178C5"/>
    <w:rsid w:val="002231D9"/>
    <w:rsid w:val="00223B8B"/>
    <w:rsid w:val="00223D15"/>
    <w:rsid w:val="00225484"/>
    <w:rsid w:val="0022555A"/>
    <w:rsid w:val="00225F49"/>
    <w:rsid w:val="002270F5"/>
    <w:rsid w:val="0022782D"/>
    <w:rsid w:val="00231B77"/>
    <w:rsid w:val="002344FE"/>
    <w:rsid w:val="00235EA0"/>
    <w:rsid w:val="00236ADF"/>
    <w:rsid w:val="00236DBB"/>
    <w:rsid w:val="0024080B"/>
    <w:rsid w:val="00240DDF"/>
    <w:rsid w:val="00241D04"/>
    <w:rsid w:val="00241E56"/>
    <w:rsid w:val="00243E1B"/>
    <w:rsid w:val="002446DB"/>
    <w:rsid w:val="00247E5B"/>
    <w:rsid w:val="002506E8"/>
    <w:rsid w:val="0025250D"/>
    <w:rsid w:val="00254833"/>
    <w:rsid w:val="00254EC9"/>
    <w:rsid w:val="00256FBE"/>
    <w:rsid w:val="0025799C"/>
    <w:rsid w:val="0026250C"/>
    <w:rsid w:val="00263732"/>
    <w:rsid w:val="00266AF8"/>
    <w:rsid w:val="00266BDE"/>
    <w:rsid w:val="00270890"/>
    <w:rsid w:val="00270EF2"/>
    <w:rsid w:val="00271A7A"/>
    <w:rsid w:val="00273479"/>
    <w:rsid w:val="00273EB0"/>
    <w:rsid w:val="002749B5"/>
    <w:rsid w:val="00275FF8"/>
    <w:rsid w:val="00276F8C"/>
    <w:rsid w:val="002779F2"/>
    <w:rsid w:val="002818E7"/>
    <w:rsid w:val="0028254E"/>
    <w:rsid w:val="00284D57"/>
    <w:rsid w:val="00286EE2"/>
    <w:rsid w:val="002903BC"/>
    <w:rsid w:val="00295C88"/>
    <w:rsid w:val="00297030"/>
    <w:rsid w:val="002A002D"/>
    <w:rsid w:val="002A0C63"/>
    <w:rsid w:val="002A73C6"/>
    <w:rsid w:val="002B1592"/>
    <w:rsid w:val="002B74DE"/>
    <w:rsid w:val="002B7D1C"/>
    <w:rsid w:val="002C55B4"/>
    <w:rsid w:val="002C5A68"/>
    <w:rsid w:val="002C5C2B"/>
    <w:rsid w:val="002C6909"/>
    <w:rsid w:val="002C6A8F"/>
    <w:rsid w:val="002C7D1B"/>
    <w:rsid w:val="002D07F8"/>
    <w:rsid w:val="002D46DB"/>
    <w:rsid w:val="002D5D9E"/>
    <w:rsid w:val="002D654A"/>
    <w:rsid w:val="002D6747"/>
    <w:rsid w:val="002E12FC"/>
    <w:rsid w:val="002E1D34"/>
    <w:rsid w:val="002E4AB8"/>
    <w:rsid w:val="002E5B1D"/>
    <w:rsid w:val="002E685C"/>
    <w:rsid w:val="002F25A2"/>
    <w:rsid w:val="002F2F60"/>
    <w:rsid w:val="002F67BE"/>
    <w:rsid w:val="00302C74"/>
    <w:rsid w:val="00303184"/>
    <w:rsid w:val="003156B0"/>
    <w:rsid w:val="00316014"/>
    <w:rsid w:val="00320BBA"/>
    <w:rsid w:val="00322A36"/>
    <w:rsid w:val="00324230"/>
    <w:rsid w:val="00327C89"/>
    <w:rsid w:val="00330492"/>
    <w:rsid w:val="003355C1"/>
    <w:rsid w:val="0034168B"/>
    <w:rsid w:val="0034457B"/>
    <w:rsid w:val="003449E8"/>
    <w:rsid w:val="00344A4B"/>
    <w:rsid w:val="00345F38"/>
    <w:rsid w:val="00346ACC"/>
    <w:rsid w:val="00347A4D"/>
    <w:rsid w:val="00355D4D"/>
    <w:rsid w:val="0035624B"/>
    <w:rsid w:val="00356CDE"/>
    <w:rsid w:val="0036121B"/>
    <w:rsid w:val="00361F36"/>
    <w:rsid w:val="0036254B"/>
    <w:rsid w:val="00363A87"/>
    <w:rsid w:val="0036460E"/>
    <w:rsid w:val="00365A15"/>
    <w:rsid w:val="00365D94"/>
    <w:rsid w:val="00376E84"/>
    <w:rsid w:val="003832FC"/>
    <w:rsid w:val="00383FF2"/>
    <w:rsid w:val="00384B74"/>
    <w:rsid w:val="00385609"/>
    <w:rsid w:val="00387815"/>
    <w:rsid w:val="00387F81"/>
    <w:rsid w:val="00390F5D"/>
    <w:rsid w:val="00396013"/>
    <w:rsid w:val="003A3030"/>
    <w:rsid w:val="003A3611"/>
    <w:rsid w:val="003A47D8"/>
    <w:rsid w:val="003A534A"/>
    <w:rsid w:val="003A5B5D"/>
    <w:rsid w:val="003B4FC9"/>
    <w:rsid w:val="003C05E6"/>
    <w:rsid w:val="003C39A6"/>
    <w:rsid w:val="003C3A53"/>
    <w:rsid w:val="003C472D"/>
    <w:rsid w:val="003C64A8"/>
    <w:rsid w:val="003C757D"/>
    <w:rsid w:val="003D2E1D"/>
    <w:rsid w:val="003D45BA"/>
    <w:rsid w:val="003D4FA3"/>
    <w:rsid w:val="003D6E2C"/>
    <w:rsid w:val="003D7C26"/>
    <w:rsid w:val="003E098C"/>
    <w:rsid w:val="003E272E"/>
    <w:rsid w:val="003E4370"/>
    <w:rsid w:val="003E5782"/>
    <w:rsid w:val="003E7723"/>
    <w:rsid w:val="003F0652"/>
    <w:rsid w:val="003F6A8B"/>
    <w:rsid w:val="003F750C"/>
    <w:rsid w:val="00400648"/>
    <w:rsid w:val="00400DC6"/>
    <w:rsid w:val="004029A9"/>
    <w:rsid w:val="00405249"/>
    <w:rsid w:val="00405DA4"/>
    <w:rsid w:val="004071A3"/>
    <w:rsid w:val="004075A5"/>
    <w:rsid w:val="00414845"/>
    <w:rsid w:val="00414F77"/>
    <w:rsid w:val="00417F61"/>
    <w:rsid w:val="00424571"/>
    <w:rsid w:val="00425728"/>
    <w:rsid w:val="00425C44"/>
    <w:rsid w:val="0042655D"/>
    <w:rsid w:val="00427485"/>
    <w:rsid w:val="00430E50"/>
    <w:rsid w:val="00431D2B"/>
    <w:rsid w:val="004330A9"/>
    <w:rsid w:val="00434DC6"/>
    <w:rsid w:val="0043669E"/>
    <w:rsid w:val="00437F6F"/>
    <w:rsid w:val="00440BAB"/>
    <w:rsid w:val="0044281C"/>
    <w:rsid w:val="004443BB"/>
    <w:rsid w:val="00445D0B"/>
    <w:rsid w:val="00446CAC"/>
    <w:rsid w:val="00446E35"/>
    <w:rsid w:val="00447AD2"/>
    <w:rsid w:val="0045364B"/>
    <w:rsid w:val="0045570D"/>
    <w:rsid w:val="004564AC"/>
    <w:rsid w:val="004569B4"/>
    <w:rsid w:val="00462A48"/>
    <w:rsid w:val="0046327B"/>
    <w:rsid w:val="0046489D"/>
    <w:rsid w:val="004663C8"/>
    <w:rsid w:val="004721E5"/>
    <w:rsid w:val="00476DAE"/>
    <w:rsid w:val="0048332B"/>
    <w:rsid w:val="00483478"/>
    <w:rsid w:val="004834A5"/>
    <w:rsid w:val="00486C51"/>
    <w:rsid w:val="00486FD8"/>
    <w:rsid w:val="00493BA0"/>
    <w:rsid w:val="00495582"/>
    <w:rsid w:val="00495B83"/>
    <w:rsid w:val="004960FC"/>
    <w:rsid w:val="004A0237"/>
    <w:rsid w:val="004A0FC9"/>
    <w:rsid w:val="004A60F3"/>
    <w:rsid w:val="004B08D5"/>
    <w:rsid w:val="004B3346"/>
    <w:rsid w:val="004B35D3"/>
    <w:rsid w:val="004B44D6"/>
    <w:rsid w:val="004B6F2D"/>
    <w:rsid w:val="004C1BE8"/>
    <w:rsid w:val="004C2945"/>
    <w:rsid w:val="004C36CB"/>
    <w:rsid w:val="004C4E90"/>
    <w:rsid w:val="004C7755"/>
    <w:rsid w:val="004D1456"/>
    <w:rsid w:val="004D3722"/>
    <w:rsid w:val="004D43C7"/>
    <w:rsid w:val="004E1446"/>
    <w:rsid w:val="004E521D"/>
    <w:rsid w:val="004F4B2E"/>
    <w:rsid w:val="004F5321"/>
    <w:rsid w:val="004F5C3D"/>
    <w:rsid w:val="004F6C7E"/>
    <w:rsid w:val="00502CBA"/>
    <w:rsid w:val="0051004E"/>
    <w:rsid w:val="00512C8A"/>
    <w:rsid w:val="005144D8"/>
    <w:rsid w:val="005147CC"/>
    <w:rsid w:val="005150FC"/>
    <w:rsid w:val="005173DA"/>
    <w:rsid w:val="00521F9F"/>
    <w:rsid w:val="00523911"/>
    <w:rsid w:val="00524ADD"/>
    <w:rsid w:val="00532906"/>
    <w:rsid w:val="0053595A"/>
    <w:rsid w:val="005416E0"/>
    <w:rsid w:val="00545232"/>
    <w:rsid w:val="00545A89"/>
    <w:rsid w:val="005502D2"/>
    <w:rsid w:val="00551715"/>
    <w:rsid w:val="0055216D"/>
    <w:rsid w:val="00553441"/>
    <w:rsid w:val="00553A16"/>
    <w:rsid w:val="00556069"/>
    <w:rsid w:val="00556495"/>
    <w:rsid w:val="0055755B"/>
    <w:rsid w:val="00563165"/>
    <w:rsid w:val="00563E5E"/>
    <w:rsid w:val="00564E30"/>
    <w:rsid w:val="0056619F"/>
    <w:rsid w:val="00566DE8"/>
    <w:rsid w:val="00571E01"/>
    <w:rsid w:val="0057265D"/>
    <w:rsid w:val="00574609"/>
    <w:rsid w:val="00574A3C"/>
    <w:rsid w:val="00574A92"/>
    <w:rsid w:val="00576CD3"/>
    <w:rsid w:val="0057719F"/>
    <w:rsid w:val="00584CF1"/>
    <w:rsid w:val="005943B5"/>
    <w:rsid w:val="005945C6"/>
    <w:rsid w:val="0059783A"/>
    <w:rsid w:val="005A0882"/>
    <w:rsid w:val="005A1E16"/>
    <w:rsid w:val="005A2388"/>
    <w:rsid w:val="005A2CB5"/>
    <w:rsid w:val="005A3018"/>
    <w:rsid w:val="005A55B3"/>
    <w:rsid w:val="005A5ACB"/>
    <w:rsid w:val="005A67EE"/>
    <w:rsid w:val="005B400C"/>
    <w:rsid w:val="005B41AE"/>
    <w:rsid w:val="005B5673"/>
    <w:rsid w:val="005C019A"/>
    <w:rsid w:val="005C2712"/>
    <w:rsid w:val="005C2944"/>
    <w:rsid w:val="005C2E06"/>
    <w:rsid w:val="005C7C2B"/>
    <w:rsid w:val="005D4768"/>
    <w:rsid w:val="005D4854"/>
    <w:rsid w:val="005D6F34"/>
    <w:rsid w:val="005E0DA2"/>
    <w:rsid w:val="005E1D1D"/>
    <w:rsid w:val="005E1FB6"/>
    <w:rsid w:val="005E44AC"/>
    <w:rsid w:val="005E6D0C"/>
    <w:rsid w:val="005E76B6"/>
    <w:rsid w:val="005F1BDD"/>
    <w:rsid w:val="005F1BF6"/>
    <w:rsid w:val="005F1EA7"/>
    <w:rsid w:val="005F1EFF"/>
    <w:rsid w:val="005F2B27"/>
    <w:rsid w:val="005F30FA"/>
    <w:rsid w:val="005F76BE"/>
    <w:rsid w:val="005F7ECF"/>
    <w:rsid w:val="00600391"/>
    <w:rsid w:val="0060756D"/>
    <w:rsid w:val="00612D3C"/>
    <w:rsid w:val="00613A89"/>
    <w:rsid w:val="00613F2E"/>
    <w:rsid w:val="00616EC7"/>
    <w:rsid w:val="006177FF"/>
    <w:rsid w:val="00626D86"/>
    <w:rsid w:val="00627B10"/>
    <w:rsid w:val="00627EDB"/>
    <w:rsid w:val="0063070D"/>
    <w:rsid w:val="00631BFD"/>
    <w:rsid w:val="0063235A"/>
    <w:rsid w:val="00636FF7"/>
    <w:rsid w:val="00641E05"/>
    <w:rsid w:val="00642BA9"/>
    <w:rsid w:val="00644253"/>
    <w:rsid w:val="006453A7"/>
    <w:rsid w:val="00646450"/>
    <w:rsid w:val="00647CF4"/>
    <w:rsid w:val="00652D7E"/>
    <w:rsid w:val="00653FA4"/>
    <w:rsid w:val="00654434"/>
    <w:rsid w:val="00656629"/>
    <w:rsid w:val="00657AE7"/>
    <w:rsid w:val="00663615"/>
    <w:rsid w:val="00664D3C"/>
    <w:rsid w:val="00667E01"/>
    <w:rsid w:val="0067164D"/>
    <w:rsid w:val="0067287F"/>
    <w:rsid w:val="00676F1D"/>
    <w:rsid w:val="00677696"/>
    <w:rsid w:val="00681202"/>
    <w:rsid w:val="00682BA6"/>
    <w:rsid w:val="0068425E"/>
    <w:rsid w:val="00686226"/>
    <w:rsid w:val="00687357"/>
    <w:rsid w:val="0069290E"/>
    <w:rsid w:val="00693E7A"/>
    <w:rsid w:val="00694B4B"/>
    <w:rsid w:val="00696681"/>
    <w:rsid w:val="006A1735"/>
    <w:rsid w:val="006A3A7C"/>
    <w:rsid w:val="006A66D7"/>
    <w:rsid w:val="006B16DE"/>
    <w:rsid w:val="006B29B1"/>
    <w:rsid w:val="006B5FE8"/>
    <w:rsid w:val="006B6383"/>
    <w:rsid w:val="006C187C"/>
    <w:rsid w:val="006C4CC5"/>
    <w:rsid w:val="006C5708"/>
    <w:rsid w:val="006C6689"/>
    <w:rsid w:val="006C7E37"/>
    <w:rsid w:val="006C7F74"/>
    <w:rsid w:val="006D386B"/>
    <w:rsid w:val="006D5EB9"/>
    <w:rsid w:val="006E1171"/>
    <w:rsid w:val="006F12E6"/>
    <w:rsid w:val="006F1ADA"/>
    <w:rsid w:val="006F375C"/>
    <w:rsid w:val="006F419B"/>
    <w:rsid w:val="006F429C"/>
    <w:rsid w:val="006F563A"/>
    <w:rsid w:val="006F5D74"/>
    <w:rsid w:val="006F6468"/>
    <w:rsid w:val="00700DED"/>
    <w:rsid w:val="00700ED9"/>
    <w:rsid w:val="00703277"/>
    <w:rsid w:val="00705764"/>
    <w:rsid w:val="00706E47"/>
    <w:rsid w:val="00711250"/>
    <w:rsid w:val="00713436"/>
    <w:rsid w:val="00722B1E"/>
    <w:rsid w:val="0072572F"/>
    <w:rsid w:val="00730E2E"/>
    <w:rsid w:val="00731779"/>
    <w:rsid w:val="007323D2"/>
    <w:rsid w:val="007327DA"/>
    <w:rsid w:val="00733BDB"/>
    <w:rsid w:val="0073422D"/>
    <w:rsid w:val="00735209"/>
    <w:rsid w:val="007359C7"/>
    <w:rsid w:val="007367F9"/>
    <w:rsid w:val="00741A51"/>
    <w:rsid w:val="0074347E"/>
    <w:rsid w:val="00744302"/>
    <w:rsid w:val="00746716"/>
    <w:rsid w:val="00746F8F"/>
    <w:rsid w:val="00747F28"/>
    <w:rsid w:val="007505FE"/>
    <w:rsid w:val="0075145D"/>
    <w:rsid w:val="007525E6"/>
    <w:rsid w:val="0075681A"/>
    <w:rsid w:val="00763271"/>
    <w:rsid w:val="0076415B"/>
    <w:rsid w:val="007664BD"/>
    <w:rsid w:val="00766569"/>
    <w:rsid w:val="00767174"/>
    <w:rsid w:val="00767F0B"/>
    <w:rsid w:val="00770059"/>
    <w:rsid w:val="00770C3D"/>
    <w:rsid w:val="0077431F"/>
    <w:rsid w:val="0077541E"/>
    <w:rsid w:val="00775A5C"/>
    <w:rsid w:val="00777A5F"/>
    <w:rsid w:val="00780C71"/>
    <w:rsid w:val="007854F3"/>
    <w:rsid w:val="00790777"/>
    <w:rsid w:val="00791043"/>
    <w:rsid w:val="007913CA"/>
    <w:rsid w:val="00792992"/>
    <w:rsid w:val="00794EE1"/>
    <w:rsid w:val="00795BC1"/>
    <w:rsid w:val="00797092"/>
    <w:rsid w:val="0079751A"/>
    <w:rsid w:val="00797FCE"/>
    <w:rsid w:val="007A08BC"/>
    <w:rsid w:val="007A1446"/>
    <w:rsid w:val="007A1640"/>
    <w:rsid w:val="007A3CAE"/>
    <w:rsid w:val="007A7F20"/>
    <w:rsid w:val="007B1677"/>
    <w:rsid w:val="007B3338"/>
    <w:rsid w:val="007B6107"/>
    <w:rsid w:val="007B626D"/>
    <w:rsid w:val="007B68ED"/>
    <w:rsid w:val="007B6AF5"/>
    <w:rsid w:val="007C3758"/>
    <w:rsid w:val="007C3F4F"/>
    <w:rsid w:val="007D09A1"/>
    <w:rsid w:val="007D0B50"/>
    <w:rsid w:val="007D1C6D"/>
    <w:rsid w:val="007D3CDE"/>
    <w:rsid w:val="007D3F24"/>
    <w:rsid w:val="007D45A4"/>
    <w:rsid w:val="007D6C90"/>
    <w:rsid w:val="007D74FE"/>
    <w:rsid w:val="007E037B"/>
    <w:rsid w:val="007E411E"/>
    <w:rsid w:val="007E678D"/>
    <w:rsid w:val="007F0FEA"/>
    <w:rsid w:val="007F27B3"/>
    <w:rsid w:val="007F4CC0"/>
    <w:rsid w:val="007F5DCE"/>
    <w:rsid w:val="007F6E46"/>
    <w:rsid w:val="007F7F38"/>
    <w:rsid w:val="00802ACA"/>
    <w:rsid w:val="00803890"/>
    <w:rsid w:val="00803DF4"/>
    <w:rsid w:val="008051DD"/>
    <w:rsid w:val="008056B2"/>
    <w:rsid w:val="0080576A"/>
    <w:rsid w:val="0080671D"/>
    <w:rsid w:val="0081229B"/>
    <w:rsid w:val="00815B13"/>
    <w:rsid w:val="00817979"/>
    <w:rsid w:val="00820EDB"/>
    <w:rsid w:val="00821E23"/>
    <w:rsid w:val="00821F30"/>
    <w:rsid w:val="008226CA"/>
    <w:rsid w:val="00822A7A"/>
    <w:rsid w:val="00822FA5"/>
    <w:rsid w:val="008247AB"/>
    <w:rsid w:val="00824CD0"/>
    <w:rsid w:val="00834AF9"/>
    <w:rsid w:val="0083539C"/>
    <w:rsid w:val="00837BC0"/>
    <w:rsid w:val="0084045C"/>
    <w:rsid w:val="00843648"/>
    <w:rsid w:val="00843C43"/>
    <w:rsid w:val="008441D9"/>
    <w:rsid w:val="00847138"/>
    <w:rsid w:val="00847962"/>
    <w:rsid w:val="00851DEA"/>
    <w:rsid w:val="00852776"/>
    <w:rsid w:val="00852C9C"/>
    <w:rsid w:val="00857B0F"/>
    <w:rsid w:val="008613AD"/>
    <w:rsid w:val="0086179A"/>
    <w:rsid w:val="00862393"/>
    <w:rsid w:val="00862B41"/>
    <w:rsid w:val="00863EA7"/>
    <w:rsid w:val="00864459"/>
    <w:rsid w:val="00867F54"/>
    <w:rsid w:val="0087109E"/>
    <w:rsid w:val="008768FF"/>
    <w:rsid w:val="00876EC5"/>
    <w:rsid w:val="00880A4A"/>
    <w:rsid w:val="00880E25"/>
    <w:rsid w:val="008816CE"/>
    <w:rsid w:val="00882852"/>
    <w:rsid w:val="00884635"/>
    <w:rsid w:val="00885761"/>
    <w:rsid w:val="00885F8C"/>
    <w:rsid w:val="00890355"/>
    <w:rsid w:val="008909D5"/>
    <w:rsid w:val="0089179E"/>
    <w:rsid w:val="0089228D"/>
    <w:rsid w:val="00893BF5"/>
    <w:rsid w:val="008940EA"/>
    <w:rsid w:val="00894470"/>
    <w:rsid w:val="00895EA1"/>
    <w:rsid w:val="00896769"/>
    <w:rsid w:val="00897B80"/>
    <w:rsid w:val="008A06B4"/>
    <w:rsid w:val="008A0951"/>
    <w:rsid w:val="008A0A30"/>
    <w:rsid w:val="008A15FD"/>
    <w:rsid w:val="008A1AE7"/>
    <w:rsid w:val="008A5ADB"/>
    <w:rsid w:val="008B1A52"/>
    <w:rsid w:val="008B296A"/>
    <w:rsid w:val="008B332E"/>
    <w:rsid w:val="008C2124"/>
    <w:rsid w:val="008C5A2E"/>
    <w:rsid w:val="008C75FF"/>
    <w:rsid w:val="008D05D1"/>
    <w:rsid w:val="008D0F30"/>
    <w:rsid w:val="008D1515"/>
    <w:rsid w:val="008D1B83"/>
    <w:rsid w:val="008D550B"/>
    <w:rsid w:val="008E00C6"/>
    <w:rsid w:val="008E0926"/>
    <w:rsid w:val="008E1D18"/>
    <w:rsid w:val="008F337A"/>
    <w:rsid w:val="008F5D53"/>
    <w:rsid w:val="008F66E0"/>
    <w:rsid w:val="008F73BF"/>
    <w:rsid w:val="008F7E8B"/>
    <w:rsid w:val="0090047E"/>
    <w:rsid w:val="00900812"/>
    <w:rsid w:val="00901B8F"/>
    <w:rsid w:val="00903FB8"/>
    <w:rsid w:val="0090518F"/>
    <w:rsid w:val="00906F53"/>
    <w:rsid w:val="00906F9A"/>
    <w:rsid w:val="00910B7B"/>
    <w:rsid w:val="00910D99"/>
    <w:rsid w:val="009112CB"/>
    <w:rsid w:val="009123DD"/>
    <w:rsid w:val="0091281C"/>
    <w:rsid w:val="00913403"/>
    <w:rsid w:val="00913543"/>
    <w:rsid w:val="0091557F"/>
    <w:rsid w:val="009168C7"/>
    <w:rsid w:val="0091774F"/>
    <w:rsid w:val="0091789F"/>
    <w:rsid w:val="009201DE"/>
    <w:rsid w:val="0092042B"/>
    <w:rsid w:val="009214E6"/>
    <w:rsid w:val="00922871"/>
    <w:rsid w:val="009263A1"/>
    <w:rsid w:val="00930801"/>
    <w:rsid w:val="00930E76"/>
    <w:rsid w:val="0093324A"/>
    <w:rsid w:val="00933FC9"/>
    <w:rsid w:val="00935B20"/>
    <w:rsid w:val="00935B95"/>
    <w:rsid w:val="00936D88"/>
    <w:rsid w:val="00937C20"/>
    <w:rsid w:val="00942762"/>
    <w:rsid w:val="00943F32"/>
    <w:rsid w:val="00944311"/>
    <w:rsid w:val="0095457B"/>
    <w:rsid w:val="0095637E"/>
    <w:rsid w:val="00957703"/>
    <w:rsid w:val="00957FEE"/>
    <w:rsid w:val="00963329"/>
    <w:rsid w:val="00963DEC"/>
    <w:rsid w:val="009645C6"/>
    <w:rsid w:val="0096471A"/>
    <w:rsid w:val="0096526E"/>
    <w:rsid w:val="009714FF"/>
    <w:rsid w:val="00971871"/>
    <w:rsid w:val="00973664"/>
    <w:rsid w:val="00974F87"/>
    <w:rsid w:val="00977E00"/>
    <w:rsid w:val="00983D95"/>
    <w:rsid w:val="009857BB"/>
    <w:rsid w:val="00991E09"/>
    <w:rsid w:val="00992FA5"/>
    <w:rsid w:val="00994F9F"/>
    <w:rsid w:val="00995B1D"/>
    <w:rsid w:val="00996085"/>
    <w:rsid w:val="009A01A1"/>
    <w:rsid w:val="009A0657"/>
    <w:rsid w:val="009A3FC5"/>
    <w:rsid w:val="009A4E83"/>
    <w:rsid w:val="009B0D36"/>
    <w:rsid w:val="009B0DC7"/>
    <w:rsid w:val="009B21D9"/>
    <w:rsid w:val="009B2F6D"/>
    <w:rsid w:val="009B36C4"/>
    <w:rsid w:val="009B47B8"/>
    <w:rsid w:val="009B4FF4"/>
    <w:rsid w:val="009B50E6"/>
    <w:rsid w:val="009C086C"/>
    <w:rsid w:val="009C1C55"/>
    <w:rsid w:val="009C6195"/>
    <w:rsid w:val="009C7745"/>
    <w:rsid w:val="009C77B8"/>
    <w:rsid w:val="009C7C46"/>
    <w:rsid w:val="009D2114"/>
    <w:rsid w:val="009D4940"/>
    <w:rsid w:val="009D5E73"/>
    <w:rsid w:val="009D684D"/>
    <w:rsid w:val="009E1EC3"/>
    <w:rsid w:val="009E2929"/>
    <w:rsid w:val="009E349C"/>
    <w:rsid w:val="009E4D51"/>
    <w:rsid w:val="009E73B0"/>
    <w:rsid w:val="009E7570"/>
    <w:rsid w:val="009F026C"/>
    <w:rsid w:val="009F3470"/>
    <w:rsid w:val="009F4DE4"/>
    <w:rsid w:val="009F5998"/>
    <w:rsid w:val="00A00CF4"/>
    <w:rsid w:val="00A0158F"/>
    <w:rsid w:val="00A021F7"/>
    <w:rsid w:val="00A03B4B"/>
    <w:rsid w:val="00A03D87"/>
    <w:rsid w:val="00A07512"/>
    <w:rsid w:val="00A10D2B"/>
    <w:rsid w:val="00A144BE"/>
    <w:rsid w:val="00A15646"/>
    <w:rsid w:val="00A15682"/>
    <w:rsid w:val="00A16B68"/>
    <w:rsid w:val="00A213C4"/>
    <w:rsid w:val="00A22081"/>
    <w:rsid w:val="00A2346A"/>
    <w:rsid w:val="00A249C2"/>
    <w:rsid w:val="00A30455"/>
    <w:rsid w:val="00A33629"/>
    <w:rsid w:val="00A37AFA"/>
    <w:rsid w:val="00A40156"/>
    <w:rsid w:val="00A445F3"/>
    <w:rsid w:val="00A45055"/>
    <w:rsid w:val="00A45C6F"/>
    <w:rsid w:val="00A4645A"/>
    <w:rsid w:val="00A46EDC"/>
    <w:rsid w:val="00A478B7"/>
    <w:rsid w:val="00A50D64"/>
    <w:rsid w:val="00A52177"/>
    <w:rsid w:val="00A550E7"/>
    <w:rsid w:val="00A56271"/>
    <w:rsid w:val="00A57B5B"/>
    <w:rsid w:val="00A57DB0"/>
    <w:rsid w:val="00A6040E"/>
    <w:rsid w:val="00A66648"/>
    <w:rsid w:val="00A72256"/>
    <w:rsid w:val="00A73FAE"/>
    <w:rsid w:val="00A7548A"/>
    <w:rsid w:val="00A75C5C"/>
    <w:rsid w:val="00A7627B"/>
    <w:rsid w:val="00A76344"/>
    <w:rsid w:val="00A774B1"/>
    <w:rsid w:val="00A77D47"/>
    <w:rsid w:val="00A77E8C"/>
    <w:rsid w:val="00A80D43"/>
    <w:rsid w:val="00A84072"/>
    <w:rsid w:val="00A84DCA"/>
    <w:rsid w:val="00A85293"/>
    <w:rsid w:val="00A85887"/>
    <w:rsid w:val="00A871B7"/>
    <w:rsid w:val="00A9068D"/>
    <w:rsid w:val="00A90DAB"/>
    <w:rsid w:val="00A915F1"/>
    <w:rsid w:val="00A91C9E"/>
    <w:rsid w:val="00A924EF"/>
    <w:rsid w:val="00A940D2"/>
    <w:rsid w:val="00A941B1"/>
    <w:rsid w:val="00A961FB"/>
    <w:rsid w:val="00A978D6"/>
    <w:rsid w:val="00A979F6"/>
    <w:rsid w:val="00AA03E5"/>
    <w:rsid w:val="00AA3E6D"/>
    <w:rsid w:val="00AA50F5"/>
    <w:rsid w:val="00AB3051"/>
    <w:rsid w:val="00AB3FF2"/>
    <w:rsid w:val="00AC02A7"/>
    <w:rsid w:val="00AC0365"/>
    <w:rsid w:val="00AC0374"/>
    <w:rsid w:val="00AC09C4"/>
    <w:rsid w:val="00AC304C"/>
    <w:rsid w:val="00AC4DB0"/>
    <w:rsid w:val="00AC5D36"/>
    <w:rsid w:val="00AC68C5"/>
    <w:rsid w:val="00AC7171"/>
    <w:rsid w:val="00AC7444"/>
    <w:rsid w:val="00AD016C"/>
    <w:rsid w:val="00AD347E"/>
    <w:rsid w:val="00AD39C3"/>
    <w:rsid w:val="00AD5154"/>
    <w:rsid w:val="00AD7AF8"/>
    <w:rsid w:val="00AE2E0D"/>
    <w:rsid w:val="00AE41C6"/>
    <w:rsid w:val="00AE5831"/>
    <w:rsid w:val="00AE5966"/>
    <w:rsid w:val="00AE6849"/>
    <w:rsid w:val="00AE7016"/>
    <w:rsid w:val="00AF0F40"/>
    <w:rsid w:val="00AF0F82"/>
    <w:rsid w:val="00AF1CBA"/>
    <w:rsid w:val="00AF5DE6"/>
    <w:rsid w:val="00AF7359"/>
    <w:rsid w:val="00B02BE5"/>
    <w:rsid w:val="00B02FC2"/>
    <w:rsid w:val="00B0461C"/>
    <w:rsid w:val="00B067A5"/>
    <w:rsid w:val="00B0693A"/>
    <w:rsid w:val="00B07F10"/>
    <w:rsid w:val="00B1140D"/>
    <w:rsid w:val="00B1207E"/>
    <w:rsid w:val="00B150D3"/>
    <w:rsid w:val="00B20975"/>
    <w:rsid w:val="00B2252E"/>
    <w:rsid w:val="00B22CED"/>
    <w:rsid w:val="00B23F56"/>
    <w:rsid w:val="00B24A17"/>
    <w:rsid w:val="00B255C9"/>
    <w:rsid w:val="00B27C1B"/>
    <w:rsid w:val="00B27F6B"/>
    <w:rsid w:val="00B27FD1"/>
    <w:rsid w:val="00B30BED"/>
    <w:rsid w:val="00B3179F"/>
    <w:rsid w:val="00B32678"/>
    <w:rsid w:val="00B32BB6"/>
    <w:rsid w:val="00B335FD"/>
    <w:rsid w:val="00B345DF"/>
    <w:rsid w:val="00B35B1B"/>
    <w:rsid w:val="00B410E2"/>
    <w:rsid w:val="00B42F3F"/>
    <w:rsid w:val="00B46A23"/>
    <w:rsid w:val="00B46DA4"/>
    <w:rsid w:val="00B47D99"/>
    <w:rsid w:val="00B54D45"/>
    <w:rsid w:val="00B54DC3"/>
    <w:rsid w:val="00B60923"/>
    <w:rsid w:val="00B6154C"/>
    <w:rsid w:val="00B6243E"/>
    <w:rsid w:val="00B62737"/>
    <w:rsid w:val="00B6486A"/>
    <w:rsid w:val="00B655B5"/>
    <w:rsid w:val="00B65B4E"/>
    <w:rsid w:val="00B65DB7"/>
    <w:rsid w:val="00B66F5C"/>
    <w:rsid w:val="00B705BD"/>
    <w:rsid w:val="00B70AA8"/>
    <w:rsid w:val="00B71162"/>
    <w:rsid w:val="00B7169D"/>
    <w:rsid w:val="00B718D2"/>
    <w:rsid w:val="00B71BCE"/>
    <w:rsid w:val="00B74290"/>
    <w:rsid w:val="00B745D3"/>
    <w:rsid w:val="00B75803"/>
    <w:rsid w:val="00B75BAC"/>
    <w:rsid w:val="00B76602"/>
    <w:rsid w:val="00B767D1"/>
    <w:rsid w:val="00B8147F"/>
    <w:rsid w:val="00B84B93"/>
    <w:rsid w:val="00B8640E"/>
    <w:rsid w:val="00B8716A"/>
    <w:rsid w:val="00B873C6"/>
    <w:rsid w:val="00B917D7"/>
    <w:rsid w:val="00B91D73"/>
    <w:rsid w:val="00B935CD"/>
    <w:rsid w:val="00B93790"/>
    <w:rsid w:val="00B95A7C"/>
    <w:rsid w:val="00B97E41"/>
    <w:rsid w:val="00BA10B1"/>
    <w:rsid w:val="00BA1C85"/>
    <w:rsid w:val="00BA2064"/>
    <w:rsid w:val="00BA24CA"/>
    <w:rsid w:val="00BA458B"/>
    <w:rsid w:val="00BA6F47"/>
    <w:rsid w:val="00BA7A76"/>
    <w:rsid w:val="00BB0F4C"/>
    <w:rsid w:val="00BB129E"/>
    <w:rsid w:val="00BB31DF"/>
    <w:rsid w:val="00BB515E"/>
    <w:rsid w:val="00BC0EDD"/>
    <w:rsid w:val="00BC2662"/>
    <w:rsid w:val="00BC6C96"/>
    <w:rsid w:val="00BD208D"/>
    <w:rsid w:val="00BE46C0"/>
    <w:rsid w:val="00BE5E1F"/>
    <w:rsid w:val="00BE731D"/>
    <w:rsid w:val="00BE796C"/>
    <w:rsid w:val="00BF145F"/>
    <w:rsid w:val="00BF1830"/>
    <w:rsid w:val="00BF3F7F"/>
    <w:rsid w:val="00BF484A"/>
    <w:rsid w:val="00BF5771"/>
    <w:rsid w:val="00BF6F89"/>
    <w:rsid w:val="00C00C75"/>
    <w:rsid w:val="00C00EE6"/>
    <w:rsid w:val="00C03469"/>
    <w:rsid w:val="00C05F2B"/>
    <w:rsid w:val="00C06070"/>
    <w:rsid w:val="00C111F4"/>
    <w:rsid w:val="00C143E2"/>
    <w:rsid w:val="00C15168"/>
    <w:rsid w:val="00C17BE5"/>
    <w:rsid w:val="00C22929"/>
    <w:rsid w:val="00C22F1C"/>
    <w:rsid w:val="00C24319"/>
    <w:rsid w:val="00C245F4"/>
    <w:rsid w:val="00C25CE1"/>
    <w:rsid w:val="00C33144"/>
    <w:rsid w:val="00C345A5"/>
    <w:rsid w:val="00C365C1"/>
    <w:rsid w:val="00C375C0"/>
    <w:rsid w:val="00C40263"/>
    <w:rsid w:val="00C41F29"/>
    <w:rsid w:val="00C4395C"/>
    <w:rsid w:val="00C43BF0"/>
    <w:rsid w:val="00C44385"/>
    <w:rsid w:val="00C4537B"/>
    <w:rsid w:val="00C47B86"/>
    <w:rsid w:val="00C47EA9"/>
    <w:rsid w:val="00C50871"/>
    <w:rsid w:val="00C51414"/>
    <w:rsid w:val="00C564E5"/>
    <w:rsid w:val="00C57D9E"/>
    <w:rsid w:val="00C60C1B"/>
    <w:rsid w:val="00C61E6C"/>
    <w:rsid w:val="00C64112"/>
    <w:rsid w:val="00C64999"/>
    <w:rsid w:val="00C66752"/>
    <w:rsid w:val="00C7081C"/>
    <w:rsid w:val="00C71FC5"/>
    <w:rsid w:val="00C72443"/>
    <w:rsid w:val="00C7579D"/>
    <w:rsid w:val="00C76761"/>
    <w:rsid w:val="00C76D90"/>
    <w:rsid w:val="00C817C7"/>
    <w:rsid w:val="00C83327"/>
    <w:rsid w:val="00C83B23"/>
    <w:rsid w:val="00C8551A"/>
    <w:rsid w:val="00C87548"/>
    <w:rsid w:val="00C878B0"/>
    <w:rsid w:val="00C879DA"/>
    <w:rsid w:val="00C90905"/>
    <w:rsid w:val="00C90C9B"/>
    <w:rsid w:val="00C96BC3"/>
    <w:rsid w:val="00C9796C"/>
    <w:rsid w:val="00CA240C"/>
    <w:rsid w:val="00CA314B"/>
    <w:rsid w:val="00CA5D14"/>
    <w:rsid w:val="00CB2E09"/>
    <w:rsid w:val="00CB59DB"/>
    <w:rsid w:val="00CB5AB0"/>
    <w:rsid w:val="00CB643F"/>
    <w:rsid w:val="00CB6667"/>
    <w:rsid w:val="00CB7CEA"/>
    <w:rsid w:val="00CC0503"/>
    <w:rsid w:val="00CC0B0C"/>
    <w:rsid w:val="00CC1038"/>
    <w:rsid w:val="00CC1F19"/>
    <w:rsid w:val="00CC1FD2"/>
    <w:rsid w:val="00CC4B49"/>
    <w:rsid w:val="00CC60A4"/>
    <w:rsid w:val="00CC61B0"/>
    <w:rsid w:val="00CC6845"/>
    <w:rsid w:val="00CD1785"/>
    <w:rsid w:val="00CD6196"/>
    <w:rsid w:val="00CD71BB"/>
    <w:rsid w:val="00CD785B"/>
    <w:rsid w:val="00CE09AA"/>
    <w:rsid w:val="00CE3649"/>
    <w:rsid w:val="00CE4735"/>
    <w:rsid w:val="00CF0784"/>
    <w:rsid w:val="00CF1546"/>
    <w:rsid w:val="00CF174A"/>
    <w:rsid w:val="00CF2E41"/>
    <w:rsid w:val="00CF366D"/>
    <w:rsid w:val="00CF3E9B"/>
    <w:rsid w:val="00CF40B7"/>
    <w:rsid w:val="00CF4983"/>
    <w:rsid w:val="00CF5944"/>
    <w:rsid w:val="00D00701"/>
    <w:rsid w:val="00D07B9F"/>
    <w:rsid w:val="00D11702"/>
    <w:rsid w:val="00D1202E"/>
    <w:rsid w:val="00D13AD4"/>
    <w:rsid w:val="00D15828"/>
    <w:rsid w:val="00D24444"/>
    <w:rsid w:val="00D24550"/>
    <w:rsid w:val="00D26C36"/>
    <w:rsid w:val="00D2765B"/>
    <w:rsid w:val="00D27C83"/>
    <w:rsid w:val="00D3114B"/>
    <w:rsid w:val="00D32437"/>
    <w:rsid w:val="00D33B9D"/>
    <w:rsid w:val="00D4287A"/>
    <w:rsid w:val="00D512A8"/>
    <w:rsid w:val="00D5233D"/>
    <w:rsid w:val="00D52787"/>
    <w:rsid w:val="00D528AE"/>
    <w:rsid w:val="00D53E07"/>
    <w:rsid w:val="00D55EDE"/>
    <w:rsid w:val="00D561EE"/>
    <w:rsid w:val="00D573E4"/>
    <w:rsid w:val="00D57F80"/>
    <w:rsid w:val="00D60A5A"/>
    <w:rsid w:val="00D60AFF"/>
    <w:rsid w:val="00D615A4"/>
    <w:rsid w:val="00D62E55"/>
    <w:rsid w:val="00D6371D"/>
    <w:rsid w:val="00D64382"/>
    <w:rsid w:val="00D6643A"/>
    <w:rsid w:val="00D70DBC"/>
    <w:rsid w:val="00D71442"/>
    <w:rsid w:val="00D72B75"/>
    <w:rsid w:val="00D741C7"/>
    <w:rsid w:val="00D779C3"/>
    <w:rsid w:val="00D80DED"/>
    <w:rsid w:val="00D819F0"/>
    <w:rsid w:val="00D83C94"/>
    <w:rsid w:val="00D871CE"/>
    <w:rsid w:val="00D8792F"/>
    <w:rsid w:val="00D90245"/>
    <w:rsid w:val="00D90973"/>
    <w:rsid w:val="00D91F55"/>
    <w:rsid w:val="00D9383B"/>
    <w:rsid w:val="00D942A7"/>
    <w:rsid w:val="00D9479E"/>
    <w:rsid w:val="00D95FC0"/>
    <w:rsid w:val="00DA0C3A"/>
    <w:rsid w:val="00DA17B0"/>
    <w:rsid w:val="00DA1D38"/>
    <w:rsid w:val="00DA2C7F"/>
    <w:rsid w:val="00DA32E9"/>
    <w:rsid w:val="00DA3C98"/>
    <w:rsid w:val="00DA7B85"/>
    <w:rsid w:val="00DB01E4"/>
    <w:rsid w:val="00DB2B74"/>
    <w:rsid w:val="00DB3241"/>
    <w:rsid w:val="00DB32CE"/>
    <w:rsid w:val="00DB6007"/>
    <w:rsid w:val="00DB6442"/>
    <w:rsid w:val="00DB6639"/>
    <w:rsid w:val="00DB6F0B"/>
    <w:rsid w:val="00DB7226"/>
    <w:rsid w:val="00DC1A5D"/>
    <w:rsid w:val="00DC47BA"/>
    <w:rsid w:val="00DC651D"/>
    <w:rsid w:val="00DD06EB"/>
    <w:rsid w:val="00DD17D8"/>
    <w:rsid w:val="00DD1DCB"/>
    <w:rsid w:val="00DD3156"/>
    <w:rsid w:val="00DD5F99"/>
    <w:rsid w:val="00DD6EAE"/>
    <w:rsid w:val="00DE1FEE"/>
    <w:rsid w:val="00DF2876"/>
    <w:rsid w:val="00DF30D2"/>
    <w:rsid w:val="00DF3F07"/>
    <w:rsid w:val="00DF3F4E"/>
    <w:rsid w:val="00DF4896"/>
    <w:rsid w:val="00E01890"/>
    <w:rsid w:val="00E02E9F"/>
    <w:rsid w:val="00E04B1C"/>
    <w:rsid w:val="00E05CE7"/>
    <w:rsid w:val="00E100A7"/>
    <w:rsid w:val="00E11B46"/>
    <w:rsid w:val="00E14BFC"/>
    <w:rsid w:val="00E155CE"/>
    <w:rsid w:val="00E15917"/>
    <w:rsid w:val="00E16839"/>
    <w:rsid w:val="00E16C87"/>
    <w:rsid w:val="00E2085F"/>
    <w:rsid w:val="00E231AE"/>
    <w:rsid w:val="00E27975"/>
    <w:rsid w:val="00E30887"/>
    <w:rsid w:val="00E30D12"/>
    <w:rsid w:val="00E32160"/>
    <w:rsid w:val="00E326FB"/>
    <w:rsid w:val="00E33938"/>
    <w:rsid w:val="00E35A50"/>
    <w:rsid w:val="00E35B7E"/>
    <w:rsid w:val="00E35EDA"/>
    <w:rsid w:val="00E35EEF"/>
    <w:rsid w:val="00E36425"/>
    <w:rsid w:val="00E3647D"/>
    <w:rsid w:val="00E373F7"/>
    <w:rsid w:val="00E37CD0"/>
    <w:rsid w:val="00E413E9"/>
    <w:rsid w:val="00E41CFE"/>
    <w:rsid w:val="00E42198"/>
    <w:rsid w:val="00E45367"/>
    <w:rsid w:val="00E46BB5"/>
    <w:rsid w:val="00E4736C"/>
    <w:rsid w:val="00E56A0C"/>
    <w:rsid w:val="00E5732C"/>
    <w:rsid w:val="00E57917"/>
    <w:rsid w:val="00E6009E"/>
    <w:rsid w:val="00E61B98"/>
    <w:rsid w:val="00E64C2E"/>
    <w:rsid w:val="00E65E97"/>
    <w:rsid w:val="00E6797D"/>
    <w:rsid w:val="00E67F68"/>
    <w:rsid w:val="00E70BED"/>
    <w:rsid w:val="00E71038"/>
    <w:rsid w:val="00E736E9"/>
    <w:rsid w:val="00E81BE7"/>
    <w:rsid w:val="00E81F07"/>
    <w:rsid w:val="00E82D9E"/>
    <w:rsid w:val="00E8325B"/>
    <w:rsid w:val="00E909D0"/>
    <w:rsid w:val="00E92800"/>
    <w:rsid w:val="00E92D2A"/>
    <w:rsid w:val="00E9317A"/>
    <w:rsid w:val="00E942FA"/>
    <w:rsid w:val="00E96405"/>
    <w:rsid w:val="00E972A8"/>
    <w:rsid w:val="00E97884"/>
    <w:rsid w:val="00EA12C4"/>
    <w:rsid w:val="00EA1D5D"/>
    <w:rsid w:val="00EA2161"/>
    <w:rsid w:val="00EA4102"/>
    <w:rsid w:val="00EA4B82"/>
    <w:rsid w:val="00EA4DE5"/>
    <w:rsid w:val="00EA53F0"/>
    <w:rsid w:val="00EA5C6F"/>
    <w:rsid w:val="00EB0B09"/>
    <w:rsid w:val="00EB16BA"/>
    <w:rsid w:val="00EB3569"/>
    <w:rsid w:val="00EB42DB"/>
    <w:rsid w:val="00EB5205"/>
    <w:rsid w:val="00EB60E3"/>
    <w:rsid w:val="00EC48A7"/>
    <w:rsid w:val="00EC6727"/>
    <w:rsid w:val="00EC6EAD"/>
    <w:rsid w:val="00EC77F3"/>
    <w:rsid w:val="00EC79E1"/>
    <w:rsid w:val="00ED0526"/>
    <w:rsid w:val="00ED06B1"/>
    <w:rsid w:val="00ED1AB3"/>
    <w:rsid w:val="00ED4132"/>
    <w:rsid w:val="00ED4717"/>
    <w:rsid w:val="00ED5CB1"/>
    <w:rsid w:val="00ED5DC9"/>
    <w:rsid w:val="00ED7D01"/>
    <w:rsid w:val="00EE3159"/>
    <w:rsid w:val="00EE50D6"/>
    <w:rsid w:val="00EF2DCE"/>
    <w:rsid w:val="00EF2E53"/>
    <w:rsid w:val="00EF334F"/>
    <w:rsid w:val="00EF375C"/>
    <w:rsid w:val="00EF3B03"/>
    <w:rsid w:val="00F0125D"/>
    <w:rsid w:val="00F033D1"/>
    <w:rsid w:val="00F05304"/>
    <w:rsid w:val="00F06747"/>
    <w:rsid w:val="00F11064"/>
    <w:rsid w:val="00F12BAF"/>
    <w:rsid w:val="00F14FF3"/>
    <w:rsid w:val="00F154C9"/>
    <w:rsid w:val="00F1616F"/>
    <w:rsid w:val="00F17B1D"/>
    <w:rsid w:val="00F21F14"/>
    <w:rsid w:val="00F23F3C"/>
    <w:rsid w:val="00F2483C"/>
    <w:rsid w:val="00F26C88"/>
    <w:rsid w:val="00F32DEE"/>
    <w:rsid w:val="00F3498F"/>
    <w:rsid w:val="00F34F62"/>
    <w:rsid w:val="00F35E55"/>
    <w:rsid w:val="00F3767F"/>
    <w:rsid w:val="00F3798D"/>
    <w:rsid w:val="00F37F19"/>
    <w:rsid w:val="00F40A1D"/>
    <w:rsid w:val="00F40DE9"/>
    <w:rsid w:val="00F44E4D"/>
    <w:rsid w:val="00F450FF"/>
    <w:rsid w:val="00F46D12"/>
    <w:rsid w:val="00F47B55"/>
    <w:rsid w:val="00F53717"/>
    <w:rsid w:val="00F54358"/>
    <w:rsid w:val="00F54CA9"/>
    <w:rsid w:val="00F604F8"/>
    <w:rsid w:val="00F61B52"/>
    <w:rsid w:val="00F62076"/>
    <w:rsid w:val="00F63E0E"/>
    <w:rsid w:val="00F63FCF"/>
    <w:rsid w:val="00F64438"/>
    <w:rsid w:val="00F64E1E"/>
    <w:rsid w:val="00F64E62"/>
    <w:rsid w:val="00F66661"/>
    <w:rsid w:val="00F66C9A"/>
    <w:rsid w:val="00F67199"/>
    <w:rsid w:val="00F72D7F"/>
    <w:rsid w:val="00F74A53"/>
    <w:rsid w:val="00F8028A"/>
    <w:rsid w:val="00F80387"/>
    <w:rsid w:val="00F81E91"/>
    <w:rsid w:val="00F8287F"/>
    <w:rsid w:val="00F83DC2"/>
    <w:rsid w:val="00F84452"/>
    <w:rsid w:val="00F85619"/>
    <w:rsid w:val="00F85F94"/>
    <w:rsid w:val="00F85FFC"/>
    <w:rsid w:val="00F86FA5"/>
    <w:rsid w:val="00F8731F"/>
    <w:rsid w:val="00F9003E"/>
    <w:rsid w:val="00F91021"/>
    <w:rsid w:val="00F94C2E"/>
    <w:rsid w:val="00F9645A"/>
    <w:rsid w:val="00F97876"/>
    <w:rsid w:val="00FA0B3C"/>
    <w:rsid w:val="00FA2B2B"/>
    <w:rsid w:val="00FA380D"/>
    <w:rsid w:val="00FA47CD"/>
    <w:rsid w:val="00FA665B"/>
    <w:rsid w:val="00FA6DB0"/>
    <w:rsid w:val="00FB40EC"/>
    <w:rsid w:val="00FB4E9B"/>
    <w:rsid w:val="00FB70A0"/>
    <w:rsid w:val="00FB74AC"/>
    <w:rsid w:val="00FB7B9F"/>
    <w:rsid w:val="00FC20A2"/>
    <w:rsid w:val="00FC3AA1"/>
    <w:rsid w:val="00FC40C8"/>
    <w:rsid w:val="00FD0345"/>
    <w:rsid w:val="00FD1455"/>
    <w:rsid w:val="00FD45F5"/>
    <w:rsid w:val="00FD5A1C"/>
    <w:rsid w:val="00FD6408"/>
    <w:rsid w:val="00FD6814"/>
    <w:rsid w:val="00FD72DC"/>
    <w:rsid w:val="00FE26C6"/>
    <w:rsid w:val="00FE354E"/>
    <w:rsid w:val="00FE374F"/>
    <w:rsid w:val="00FE63DC"/>
    <w:rsid w:val="00FE7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2B1"/>
    <w:pPr>
      <w:spacing w:after="0" w:line="480" w:lineRule="auto"/>
    </w:pPr>
    <w:rPr>
      <w:rFonts w:ascii="Times New Roman" w:hAnsi="Times New Roman"/>
      <w:sz w:val="24"/>
    </w:rPr>
  </w:style>
  <w:style w:type="paragraph" w:styleId="Heading1">
    <w:name w:val="heading 1"/>
    <w:basedOn w:val="APACenteredText"/>
    <w:next w:val="Normal"/>
    <w:link w:val="Heading1Char"/>
    <w:uiPriority w:val="9"/>
    <w:qFormat/>
    <w:rsid w:val="00896769"/>
    <w:pPr>
      <w:keepNext/>
      <w:keepLines/>
      <w:outlineLvl w:val="0"/>
    </w:pPr>
    <w:rPr>
      <w:rFonts w:eastAsiaTheme="majorEastAsia" w:cstheme="majorBidi"/>
      <w:b/>
      <w:bCs/>
      <w:color w:val="000000" w:themeColor="text1"/>
      <w:szCs w:val="28"/>
    </w:rPr>
  </w:style>
  <w:style w:type="paragraph" w:styleId="Heading2">
    <w:name w:val="heading 2"/>
    <w:basedOn w:val="NormalNoIndent"/>
    <w:next w:val="Normal"/>
    <w:link w:val="Heading2Char"/>
    <w:uiPriority w:val="9"/>
    <w:semiHidden/>
    <w:unhideWhenUsed/>
    <w:qFormat/>
    <w:rsid w:val="00896769"/>
    <w:pPr>
      <w:keepNext/>
      <w:keepLines/>
      <w:outlineLvl w:val="1"/>
    </w:pPr>
    <w:rPr>
      <w:rFonts w:eastAsiaTheme="majorEastAsia"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2BB6"/>
    <w:pPr>
      <w:tabs>
        <w:tab w:val="center" w:pos="4680"/>
        <w:tab w:val="right" w:pos="9360"/>
      </w:tabs>
      <w:spacing w:line="240" w:lineRule="auto"/>
    </w:pPr>
  </w:style>
  <w:style w:type="character" w:customStyle="1" w:styleId="HeaderChar">
    <w:name w:val="Header Char"/>
    <w:basedOn w:val="DefaultParagraphFont"/>
    <w:link w:val="Header"/>
    <w:uiPriority w:val="99"/>
    <w:rsid w:val="00B32BB6"/>
    <w:rPr>
      <w:rFonts w:ascii="Times New Roman" w:hAnsi="Times New Roman"/>
      <w:sz w:val="24"/>
    </w:rPr>
  </w:style>
  <w:style w:type="paragraph" w:styleId="Footer">
    <w:name w:val="footer"/>
    <w:basedOn w:val="Normal"/>
    <w:link w:val="FooterChar"/>
    <w:uiPriority w:val="99"/>
    <w:unhideWhenUsed/>
    <w:rsid w:val="00B32BB6"/>
    <w:pPr>
      <w:tabs>
        <w:tab w:val="center" w:pos="4680"/>
        <w:tab w:val="right" w:pos="9360"/>
      </w:tabs>
      <w:spacing w:line="240" w:lineRule="auto"/>
    </w:pPr>
  </w:style>
  <w:style w:type="character" w:customStyle="1" w:styleId="FooterChar">
    <w:name w:val="Footer Char"/>
    <w:basedOn w:val="DefaultParagraphFont"/>
    <w:link w:val="Footer"/>
    <w:uiPriority w:val="99"/>
    <w:rsid w:val="00B32BB6"/>
    <w:rPr>
      <w:rFonts w:ascii="Times New Roman" w:hAnsi="Times New Roman"/>
      <w:sz w:val="24"/>
    </w:rPr>
  </w:style>
  <w:style w:type="paragraph" w:customStyle="1" w:styleId="NormalNoIndent">
    <w:name w:val="NormalNoIndent"/>
    <w:basedOn w:val="Normal"/>
    <w:qFormat/>
    <w:rsid w:val="00885761"/>
  </w:style>
  <w:style w:type="paragraph" w:customStyle="1" w:styleId="APAHeader">
    <w:name w:val="APAHeader"/>
    <w:basedOn w:val="NormalNoIndent"/>
    <w:qFormat/>
    <w:rsid w:val="00885761"/>
    <w:pPr>
      <w:spacing w:line="240" w:lineRule="auto"/>
    </w:pPr>
  </w:style>
  <w:style w:type="paragraph" w:customStyle="1" w:styleId="APACenteredText">
    <w:name w:val="APACenteredText"/>
    <w:basedOn w:val="Normal"/>
    <w:qFormat/>
    <w:rsid w:val="004960FC"/>
    <w:pPr>
      <w:jc w:val="center"/>
    </w:pPr>
  </w:style>
  <w:style w:type="paragraph" w:customStyle="1" w:styleId="References">
    <w:name w:val="References"/>
    <w:basedOn w:val="Normal"/>
    <w:qFormat/>
    <w:rsid w:val="00B71BCE"/>
    <w:pPr>
      <w:ind w:left="720" w:hanging="720"/>
    </w:pPr>
  </w:style>
  <w:style w:type="character" w:customStyle="1" w:styleId="Heading1Char">
    <w:name w:val="Heading 1 Char"/>
    <w:basedOn w:val="DefaultParagraphFont"/>
    <w:link w:val="Heading1"/>
    <w:uiPriority w:val="9"/>
    <w:rsid w:val="00896769"/>
    <w:rPr>
      <w:rFonts w:ascii="Times New Roman" w:eastAsiaTheme="majorEastAsia" w:hAnsi="Times New Roman" w:cstheme="majorBidi"/>
      <w:b/>
      <w:bCs/>
      <w:color w:val="000000" w:themeColor="text1"/>
      <w:sz w:val="24"/>
      <w:szCs w:val="28"/>
    </w:rPr>
  </w:style>
  <w:style w:type="character" w:customStyle="1" w:styleId="Heading2Char">
    <w:name w:val="Heading 2 Char"/>
    <w:basedOn w:val="DefaultParagraphFont"/>
    <w:link w:val="Heading2"/>
    <w:uiPriority w:val="9"/>
    <w:semiHidden/>
    <w:rsid w:val="00896769"/>
    <w:rPr>
      <w:rFonts w:ascii="Times New Roman" w:eastAsiaTheme="majorEastAsia" w:hAnsi="Times New Roman" w:cstheme="majorBidi"/>
      <w:b/>
      <w:bCs/>
      <w:color w:val="000000" w:themeColor="text1"/>
      <w:sz w:val="24"/>
      <w:szCs w:val="26"/>
    </w:rPr>
  </w:style>
  <w:style w:type="paragraph" w:customStyle="1" w:styleId="APAHeading3">
    <w:name w:val="APAHeading3"/>
    <w:basedOn w:val="Normal"/>
    <w:next w:val="APABody"/>
    <w:qFormat/>
    <w:rsid w:val="00896769"/>
    <w:rPr>
      <w:b/>
    </w:rPr>
  </w:style>
  <w:style w:type="character" w:customStyle="1" w:styleId="APAHeading4">
    <w:name w:val="APAHeading4"/>
    <w:uiPriority w:val="1"/>
    <w:qFormat/>
    <w:rsid w:val="00896769"/>
    <w:rPr>
      <w:i/>
    </w:rPr>
  </w:style>
  <w:style w:type="character" w:customStyle="1" w:styleId="APAHeading5">
    <w:name w:val="APAHeading5"/>
    <w:uiPriority w:val="1"/>
    <w:qFormat/>
    <w:rsid w:val="00405DA4"/>
    <w:rPr>
      <w:i/>
    </w:rPr>
  </w:style>
  <w:style w:type="paragraph" w:customStyle="1" w:styleId="APAHeading1">
    <w:name w:val="APAHeading1"/>
    <w:basedOn w:val="APACenteredText"/>
    <w:next w:val="APABody"/>
    <w:qFormat/>
    <w:rsid w:val="00405DA4"/>
    <w:rPr>
      <w:b/>
    </w:rPr>
  </w:style>
  <w:style w:type="paragraph" w:customStyle="1" w:styleId="APAHeading2">
    <w:name w:val="APAHeading2"/>
    <w:basedOn w:val="NormalNoIndent"/>
    <w:next w:val="APABody"/>
    <w:qFormat/>
    <w:rsid w:val="00405DA4"/>
    <w:rPr>
      <w:b/>
    </w:rPr>
  </w:style>
  <w:style w:type="paragraph" w:customStyle="1" w:styleId="APALongQuote">
    <w:name w:val="APALongQuote"/>
    <w:basedOn w:val="Normal"/>
    <w:rsid w:val="008A0951"/>
    <w:pPr>
      <w:ind w:left="720"/>
    </w:pPr>
  </w:style>
  <w:style w:type="paragraph" w:customStyle="1" w:styleId="APALongQuoteMore">
    <w:name w:val="APALongQuoteMore"/>
    <w:basedOn w:val="Normal"/>
    <w:rsid w:val="003E098C"/>
    <w:pPr>
      <w:ind w:left="720"/>
    </w:pPr>
  </w:style>
  <w:style w:type="paragraph" w:customStyle="1" w:styleId="APABody">
    <w:name w:val="APABody"/>
    <w:basedOn w:val="Normal"/>
    <w:qFormat/>
    <w:rsid w:val="001A72B1"/>
    <w:pPr>
      <w:ind w:firstLine="720"/>
    </w:pPr>
  </w:style>
  <w:style w:type="paragraph" w:customStyle="1" w:styleId="title">
    <w:name w:val="title"/>
    <w:basedOn w:val="Normal"/>
    <w:rsid w:val="00001B1C"/>
    <w:pPr>
      <w:spacing w:after="180"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001B1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B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857179">
      <w:bodyDiv w:val="1"/>
      <w:marLeft w:val="4"/>
      <w:marRight w:val="4"/>
      <w:marTop w:val="4"/>
      <w:marBottom w:val="4"/>
      <w:divBdr>
        <w:top w:val="none" w:sz="0" w:space="0" w:color="auto"/>
        <w:left w:val="none" w:sz="0" w:space="0" w:color="auto"/>
        <w:bottom w:val="none" w:sz="0" w:space="0" w:color="auto"/>
        <w:right w:val="none" w:sz="0" w:space="0" w:color="auto"/>
      </w:divBdr>
      <w:divsChild>
        <w:div w:id="1381442711">
          <w:marLeft w:val="0"/>
          <w:marRight w:val="0"/>
          <w:marTop w:val="0"/>
          <w:marBottom w:val="0"/>
          <w:divBdr>
            <w:top w:val="none" w:sz="0" w:space="0" w:color="auto"/>
            <w:left w:val="none" w:sz="0" w:space="0" w:color="auto"/>
            <w:bottom w:val="none" w:sz="0" w:space="0" w:color="auto"/>
            <w:right w:val="none" w:sz="0" w:space="0" w:color="auto"/>
          </w:divBdr>
          <w:divsChild>
            <w:div w:id="1767119072">
              <w:marLeft w:val="0"/>
              <w:marRight w:val="0"/>
              <w:marTop w:val="0"/>
              <w:marBottom w:val="0"/>
              <w:divBdr>
                <w:top w:val="none" w:sz="0" w:space="0" w:color="auto"/>
                <w:left w:val="none" w:sz="0" w:space="0" w:color="auto"/>
                <w:bottom w:val="none" w:sz="0" w:space="0" w:color="auto"/>
                <w:right w:val="none" w:sz="0" w:space="0" w:color="auto"/>
              </w:divBdr>
              <w:divsChild>
                <w:div w:id="262037820">
                  <w:marLeft w:val="0"/>
                  <w:marRight w:val="0"/>
                  <w:marTop w:val="0"/>
                  <w:marBottom w:val="180"/>
                  <w:divBdr>
                    <w:top w:val="none" w:sz="0" w:space="0" w:color="auto"/>
                    <w:left w:val="none" w:sz="0" w:space="0" w:color="auto"/>
                    <w:bottom w:val="none" w:sz="0" w:space="0" w:color="auto"/>
                    <w:right w:val="none" w:sz="0" w:space="0" w:color="auto"/>
                  </w:divBdr>
                  <w:divsChild>
                    <w:div w:id="1399128425">
                      <w:marLeft w:val="0"/>
                      <w:marRight w:val="0"/>
                      <w:marTop w:val="0"/>
                      <w:marBottom w:val="0"/>
                      <w:divBdr>
                        <w:top w:val="none" w:sz="0" w:space="0" w:color="auto"/>
                        <w:left w:val="none" w:sz="0" w:space="0" w:color="auto"/>
                        <w:bottom w:val="none" w:sz="0" w:space="0" w:color="auto"/>
                        <w:right w:val="none" w:sz="0" w:space="0" w:color="auto"/>
                      </w:divBdr>
                      <w:divsChild>
                        <w:div w:id="949551139">
                          <w:marLeft w:val="0"/>
                          <w:marRight w:val="0"/>
                          <w:marTop w:val="0"/>
                          <w:marBottom w:val="0"/>
                          <w:divBdr>
                            <w:top w:val="none" w:sz="0" w:space="0" w:color="auto"/>
                            <w:left w:val="none" w:sz="0" w:space="0" w:color="auto"/>
                            <w:bottom w:val="none" w:sz="0" w:space="0" w:color="auto"/>
                            <w:right w:val="none" w:sz="0" w:space="0" w:color="auto"/>
                          </w:divBdr>
                          <w:divsChild>
                            <w:div w:id="1428311038">
                              <w:marLeft w:val="0"/>
                              <w:marRight w:val="0"/>
                              <w:marTop w:val="0"/>
                              <w:marBottom w:val="0"/>
                              <w:divBdr>
                                <w:top w:val="none" w:sz="0" w:space="0" w:color="auto"/>
                                <w:left w:val="none" w:sz="0" w:space="0" w:color="auto"/>
                                <w:bottom w:val="none" w:sz="0" w:space="0" w:color="auto"/>
                                <w:right w:val="none" w:sz="0" w:space="0" w:color="auto"/>
                              </w:divBdr>
                              <w:divsChild>
                                <w:div w:id="2022735710">
                                  <w:marLeft w:val="0"/>
                                  <w:marRight w:val="0"/>
                                  <w:marTop w:val="0"/>
                                  <w:marBottom w:val="0"/>
                                  <w:divBdr>
                                    <w:top w:val="none" w:sz="0" w:space="0" w:color="auto"/>
                                    <w:left w:val="none" w:sz="0" w:space="0" w:color="auto"/>
                                    <w:bottom w:val="none" w:sz="0" w:space="0" w:color="auto"/>
                                    <w:right w:val="none" w:sz="0" w:space="0" w:color="auto"/>
                                  </w:divBdr>
                                </w:div>
                                <w:div w:id="1804929230">
                                  <w:marLeft w:val="0"/>
                                  <w:marRight w:val="0"/>
                                  <w:marTop w:val="0"/>
                                  <w:marBottom w:val="0"/>
                                  <w:divBdr>
                                    <w:top w:val="none" w:sz="0" w:space="0" w:color="auto"/>
                                    <w:left w:val="none" w:sz="0" w:space="0" w:color="auto"/>
                                    <w:bottom w:val="none" w:sz="0" w:space="0" w:color="auto"/>
                                    <w:right w:val="none" w:sz="0" w:space="0" w:color="auto"/>
                                  </w:divBdr>
                                </w:div>
                              </w:divsChild>
                            </w:div>
                            <w:div w:id="330527877">
                              <w:marLeft w:val="0"/>
                              <w:marRight w:val="0"/>
                              <w:marTop w:val="0"/>
                              <w:marBottom w:val="0"/>
                              <w:divBdr>
                                <w:top w:val="none" w:sz="0" w:space="0" w:color="auto"/>
                                <w:left w:val="none" w:sz="0" w:space="0" w:color="auto"/>
                                <w:bottom w:val="none" w:sz="0" w:space="0" w:color="auto"/>
                                <w:right w:val="none" w:sz="0" w:space="0" w:color="auto"/>
                              </w:divBdr>
                              <w:divsChild>
                                <w:div w:id="1775127019">
                                  <w:marLeft w:val="0"/>
                                  <w:marRight w:val="0"/>
                                  <w:marTop w:val="0"/>
                                  <w:marBottom w:val="0"/>
                                  <w:divBdr>
                                    <w:top w:val="none" w:sz="0" w:space="0" w:color="auto"/>
                                    <w:left w:val="none" w:sz="0" w:space="0" w:color="auto"/>
                                    <w:bottom w:val="none" w:sz="0" w:space="0" w:color="auto"/>
                                    <w:right w:val="none" w:sz="0" w:space="0" w:color="auto"/>
                                  </w:divBdr>
                                </w:div>
                                <w:div w:id="17782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nnah%20Elizabeth.HARLEYTAIL02.001\Application%20Data\Microsoft\Templates\Apa6thE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F5212-F7F2-4C70-9148-3AAE8E4B7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Apa6thEd.wiz</Template>
  <TotalTime>151</TotalTime>
  <Pages>6</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 </cp:lastModifiedBy>
  <cp:revision>14</cp:revision>
  <dcterms:created xsi:type="dcterms:W3CDTF">2011-03-06T01:36:00Z</dcterms:created>
  <dcterms:modified xsi:type="dcterms:W3CDTF">2011-03-06T04:07:00Z</dcterms:modified>
</cp:coreProperties>
</file>