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58B" w:rsidRDefault="004B758B" w:rsidP="004B758B">
      <w:pPr>
        <w:pStyle w:val="APA"/>
      </w:pPr>
    </w:p>
    <w:p w:rsidR="004B758B" w:rsidRDefault="004B758B" w:rsidP="004B758B">
      <w:pPr>
        <w:pStyle w:val="APA"/>
      </w:pPr>
    </w:p>
    <w:p w:rsidR="004B758B" w:rsidRDefault="004B758B" w:rsidP="004B758B">
      <w:pPr>
        <w:pStyle w:val="APA"/>
      </w:pPr>
    </w:p>
    <w:p w:rsidR="004B758B" w:rsidRDefault="00B35957" w:rsidP="004B758B">
      <w:pPr>
        <w:pStyle w:val="APA"/>
      </w:pPr>
      <w:r>
        <w:rPr>
          <w:color w:val="FF0000"/>
        </w:rPr>
        <w:t>13.5</w:t>
      </w:r>
    </w:p>
    <w:p w:rsidR="004B758B" w:rsidRDefault="004B758B" w:rsidP="004B758B">
      <w:pPr>
        <w:pStyle w:val="APA"/>
      </w:pPr>
    </w:p>
    <w:p w:rsidR="004B758B" w:rsidRDefault="004B758B" w:rsidP="004B758B">
      <w:pPr>
        <w:pStyle w:val="APA"/>
      </w:pPr>
    </w:p>
    <w:p w:rsidR="004B758B" w:rsidRDefault="004B758B" w:rsidP="004B758B">
      <w:pPr>
        <w:pStyle w:val="APAHeadingCenter"/>
      </w:pPr>
      <w:bookmarkStart w:id="0" w:name="bmTitlePageTitle"/>
      <w:r>
        <w:t>Case Study #5</w:t>
      </w:r>
      <w:bookmarkEnd w:id="0"/>
    </w:p>
    <w:p w:rsidR="004B758B" w:rsidRDefault="004B758B" w:rsidP="004B758B">
      <w:pPr>
        <w:pStyle w:val="APAHeadingCenter"/>
      </w:pPr>
      <w:bookmarkStart w:id="1" w:name="bmTitlePageName"/>
      <w:r>
        <w:t>Chelsea Oberheim</w:t>
      </w:r>
      <w:bookmarkEnd w:id="1"/>
    </w:p>
    <w:p w:rsidR="004B758B" w:rsidRDefault="004B758B" w:rsidP="004B758B">
      <w:pPr>
        <w:pStyle w:val="APAHeadingCenter"/>
      </w:pPr>
      <w:bookmarkStart w:id="2" w:name="bmTitlePageInst"/>
      <w:r>
        <w:t>Lakeview College of Nursing</w:t>
      </w:r>
      <w:bookmarkEnd w:id="2"/>
    </w:p>
    <w:p w:rsidR="004B758B" w:rsidRDefault="004B758B" w:rsidP="004B758B">
      <w:pPr>
        <w:pStyle w:val="APAHeadingCenter"/>
      </w:pPr>
      <w:bookmarkStart w:id="3" w:name="bmTitleAdd1"/>
      <w:r>
        <w:t>Gerontology</w:t>
      </w:r>
      <w:bookmarkEnd w:id="3"/>
    </w:p>
    <w:p w:rsidR="004B758B" w:rsidRDefault="004B758B" w:rsidP="004B758B">
      <w:pPr>
        <w:pStyle w:val="APAHeadingCenter"/>
      </w:pPr>
      <w:bookmarkStart w:id="4" w:name="bmTitleAdd2"/>
      <w:bookmarkEnd w:id="4"/>
    </w:p>
    <w:p w:rsidR="004B758B" w:rsidRDefault="004B758B" w:rsidP="004B758B">
      <w:pPr>
        <w:pStyle w:val="APAHeadingCenter"/>
      </w:pPr>
      <w:bookmarkStart w:id="5" w:name="bmTitleAdd3"/>
      <w:r>
        <w:t>Mary Edwards</w:t>
      </w:r>
      <w:bookmarkEnd w:id="5"/>
    </w:p>
    <w:p w:rsidR="004B758B" w:rsidRDefault="004B758B" w:rsidP="004B758B">
      <w:pPr>
        <w:pStyle w:val="APAHeadingCenter"/>
      </w:pPr>
      <w:bookmarkStart w:id="6" w:name="bmTitleAdd4"/>
      <w:r>
        <w:t>February 18, 2012</w:t>
      </w:r>
      <w:bookmarkEnd w:id="6"/>
    </w:p>
    <w:p w:rsidR="004B758B" w:rsidRDefault="004B758B" w:rsidP="004B758B">
      <w:pPr>
        <w:pStyle w:val="APA"/>
        <w:sectPr w:rsidR="004B758B" w:rsidSect="004B75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4B758B" w:rsidRDefault="004B758B" w:rsidP="004B758B">
      <w:pPr>
        <w:pStyle w:val="APA"/>
        <w:sectPr w:rsidR="004B758B" w:rsidSect="004B758B">
          <w:headerReference w:type="first" r:id="rId13"/>
          <w:type w:val="continuous"/>
          <w:pgSz w:w="12240" w:h="15840" w:code="1"/>
          <w:pgMar w:top="1440" w:right="1440" w:bottom="1440" w:left="1440" w:header="720" w:footer="720" w:gutter="0"/>
          <w:cols w:space="720"/>
          <w:titlePg/>
          <w:docGrid w:linePitch="360"/>
        </w:sectPr>
      </w:pPr>
    </w:p>
    <w:p w:rsidR="004B758B" w:rsidRDefault="004B758B" w:rsidP="004B758B">
      <w:pPr>
        <w:pStyle w:val="APAHeadingCenter"/>
      </w:pPr>
      <w:bookmarkStart w:id="7" w:name="bmFirstPageTitle"/>
      <w:r>
        <w:lastRenderedPageBreak/>
        <w:t>Case Study #5</w:t>
      </w:r>
      <w:bookmarkEnd w:id="7"/>
    </w:p>
    <w:p w:rsidR="00B35957" w:rsidRPr="00B35957" w:rsidRDefault="00567AA4" w:rsidP="00FE4735">
      <w:pPr>
        <w:pStyle w:val="APA"/>
        <w:rPr>
          <w:color w:val="FF0000"/>
        </w:rPr>
      </w:pPr>
      <w:r>
        <w:t>Frailty is defined as “a state of night vulnerability for adverse health outcomes, including disability, dependency, falls, need for long-term care, and mortality”</w:t>
      </w:r>
      <w:bookmarkStart w:id="8" w:name="C409574708680556I0T409574735763889"/>
      <w:r>
        <w:t xml:space="preserve"> (Benefield &amp; Higbee, 2007, p. 1)</w:t>
      </w:r>
      <w:bookmarkEnd w:id="8"/>
      <w:r>
        <w:t xml:space="preserve">. </w:t>
      </w:r>
      <w:r w:rsidR="00F2227D">
        <w:t xml:space="preserve">Comorbidity is the presence of one for more disorders in addition to a primary disease. Disability is something that inhibits a person either physically, cognitively, mentally, sensory, emotionally, or </w:t>
      </w:r>
      <w:r w:rsidR="00DA04D4">
        <w:t>developmentally</w:t>
      </w:r>
      <w:r w:rsidR="00F2227D">
        <w:t xml:space="preserve">. </w:t>
      </w:r>
      <w:r w:rsidR="00FF2086">
        <w:t xml:space="preserve">(2) </w:t>
      </w:r>
      <w:r>
        <w:t xml:space="preserve">Frailty is describes as a syndrome because it is associated with reduction of functional reserve, impairment in several body systems, and the inability to regain psychological </w:t>
      </w:r>
      <w:proofErr w:type="spellStart"/>
      <w:r>
        <w:t>homeostasis.</w:t>
      </w:r>
      <w:r w:rsidR="00B35957">
        <w:rPr>
          <w:color w:val="FF0000"/>
        </w:rPr>
        <w:t>cite</w:t>
      </w:r>
      <w:proofErr w:type="spellEnd"/>
      <w:r w:rsidR="00B35957">
        <w:rPr>
          <w:color w:val="FF0000"/>
        </w:rPr>
        <w:t xml:space="preserve"> source</w:t>
      </w:r>
      <w:r>
        <w:t xml:space="preserve"> </w:t>
      </w:r>
      <w:r w:rsidR="00E71AE1">
        <w:t>(3) The frailty assessment scores patients based on shrinking, exhaustion, strength, slowness, and low physical strength. Based on the fact that Mrs. Gibson has lost 14 pounds I would score her at a 3. She becomes fatigued with any physical activity so I would score her exhaustion as a 3. She now requires a wheelchair for mobilit</w:t>
      </w:r>
      <w:r w:rsidR="00D60CBE">
        <w:t>y, a</w:t>
      </w:r>
      <w:r w:rsidR="00E71AE1">
        <w:t xml:space="preserve">ssume she move it be herself, so I would score her </w:t>
      </w:r>
      <w:r w:rsidR="00D60CBE">
        <w:t xml:space="preserve">strength </w:t>
      </w:r>
      <w:r w:rsidR="00E71AE1">
        <w:t xml:space="preserve">a 2. </w:t>
      </w:r>
      <w:r w:rsidR="00D60CBE">
        <w:t>I would rate her slowness a 3 as well because she doesn’t ambulate be herself, I am sure her gait would be unbalanced. I would rate her low physical activity as a 3 as well because she is sedentary. That would be a total Score of 14.</w:t>
      </w:r>
      <w:r w:rsidR="00B35957">
        <w:t xml:space="preserve">  </w:t>
      </w:r>
      <w:r w:rsidR="00B35957">
        <w:rPr>
          <w:color w:val="FF0000"/>
        </w:rPr>
        <w:t>Cite source</w:t>
      </w:r>
    </w:p>
    <w:p w:rsidR="00B35957" w:rsidRPr="00B35957" w:rsidRDefault="00B35957" w:rsidP="00B35957">
      <w:pPr>
        <w:overflowPunct/>
        <w:textAlignment w:val="auto"/>
        <w:rPr>
          <w:rFonts w:ascii="ITCGaramondStd-Bk" w:hAnsi="ITCGaramondStd-Bk" w:cs="ITCGaramondStd-Bk"/>
          <w:color w:val="FF0000"/>
        </w:rPr>
      </w:pPr>
      <w:r w:rsidRPr="00B35957">
        <w:rPr>
          <w:color w:val="FF0000"/>
        </w:rPr>
        <w:t xml:space="preserve"> </w:t>
      </w:r>
      <w:r w:rsidRPr="00B35957">
        <w:rPr>
          <w:rFonts w:ascii="ITCGaramondStd-Bk" w:hAnsi="ITCGaramondStd-Bk" w:cs="ITCGaramondStd-Bk"/>
          <w:color w:val="FF0000"/>
        </w:rPr>
        <w:t>Mrs. Gibson’s score on the frailty assessment tool is a “3” as she has experienced a weight loss of 14 lbs, has the presence of fatigue, low physical activity and no longer can ambulate.</w:t>
      </w:r>
    </w:p>
    <w:p w:rsidR="00B35957" w:rsidRPr="00B35957" w:rsidRDefault="00B35957" w:rsidP="00B35957">
      <w:pPr>
        <w:overflowPunct/>
        <w:textAlignment w:val="auto"/>
        <w:rPr>
          <w:color w:val="FF0000"/>
        </w:rPr>
      </w:pPr>
    </w:p>
    <w:p w:rsidR="00B35957" w:rsidRPr="00B35957" w:rsidRDefault="00D60CBE" w:rsidP="00FE4735">
      <w:pPr>
        <w:pStyle w:val="APA"/>
        <w:rPr>
          <w:color w:val="FF0000"/>
        </w:rPr>
      </w:pPr>
      <w:r>
        <w:t xml:space="preserve"> (4)</w:t>
      </w:r>
      <w:r w:rsidR="00FE4735">
        <w:t xml:space="preserve"> </w:t>
      </w:r>
      <w:r>
        <w:t xml:space="preserve">Primary means that there isn’t a cause for the frailty like a disease process going on in the body. Secondary </w:t>
      </w:r>
      <w:r w:rsidR="00FE4735">
        <w:t xml:space="preserve">means that the frailty is like a side effect of another disease </w:t>
      </w:r>
      <w:proofErr w:type="spellStart"/>
      <w:r w:rsidR="00FE4735">
        <w:t>process.</w:t>
      </w:r>
      <w:r w:rsidR="00B35957">
        <w:rPr>
          <w:color w:val="FF0000"/>
        </w:rPr>
        <w:t>cite</w:t>
      </w:r>
      <w:proofErr w:type="spellEnd"/>
      <w:r w:rsidR="00B35957">
        <w:rPr>
          <w:color w:val="FF0000"/>
        </w:rPr>
        <w:t xml:space="preserve"> source</w:t>
      </w:r>
      <w:r w:rsidR="00FE4735">
        <w:t xml:space="preserve"> (5) The 6 physiologic-based factor for frailty are; activated inflammation, immune system dysfunction, anemia, endocrine system altercation, under</w:t>
      </w:r>
      <w:bookmarkStart w:id="9" w:name="C409575291435185I0T409575308912037"/>
      <w:r w:rsidR="00FE4735">
        <w:t>weight or over weight, and age (Espinoza &amp; Fried, 2007, p. 3)</w:t>
      </w:r>
      <w:bookmarkEnd w:id="9"/>
      <w:r w:rsidR="00FE4735">
        <w:t xml:space="preserve"> . </w:t>
      </w:r>
      <w:r w:rsidR="005747AC">
        <w:t xml:space="preserve">(6) There are several sociodemographic and psychological risk factors for frailty.  These include female gender, low socioeconomic status, race/ethnicity, and depression. Women are more likely to be classified frail due to several reasons. One reason is </w:t>
      </w:r>
      <w:r w:rsidR="005747AC">
        <w:lastRenderedPageBreak/>
        <w:t>because women have less muscle mass then men, which puts them at great risk of becoming frail. Anyone with low socioeconomic status may be at risk of becoming frail because based on research people of lower stat</w:t>
      </w:r>
      <w:r w:rsidR="000E6991">
        <w:t xml:space="preserve">us are more likely to smoke, </w:t>
      </w:r>
      <w:r w:rsidR="005747AC">
        <w:t>use alcohol</w:t>
      </w:r>
      <w:r w:rsidR="000E6991">
        <w:t>, and participate in other lifestyle factors</w:t>
      </w:r>
      <w:r w:rsidR="005747AC">
        <w:t xml:space="preserve"> which could attribute to the risks. There is </w:t>
      </w:r>
      <w:r w:rsidR="000E6991">
        <w:t>a higher prevalence</w:t>
      </w:r>
      <w:r w:rsidR="005747AC">
        <w:t xml:space="preserve"> for non-white people to suffer from </w:t>
      </w:r>
      <w:r w:rsidR="00DA04D4">
        <w:t>frailty, this</w:t>
      </w:r>
      <w:r w:rsidR="000E6991">
        <w:t xml:space="preserve"> is because there is a difference in health status that attributes to frailty. </w:t>
      </w:r>
      <w:r w:rsidR="00080742">
        <w:t>People with depression are at greater risk for frailty due to the fact research show that depression may the cause of frailty. “The hypothesis that depression or the presence of depressive symptoms leads to frailty is biologically plausible, given that individuals with depression often lose weight, become less active, and can therefore lose muscle mass, strength</w:t>
      </w:r>
      <w:r w:rsidR="00E14B3C">
        <w:t xml:space="preserve">, and exercise tolerance, and may be more prone to acute illness” </w:t>
      </w:r>
      <w:bookmarkStart w:id="10" w:name="C409575291435185I0T409575642824074"/>
      <w:r w:rsidR="00E14B3C">
        <w:t>(Espinoza &amp; Fried, 2007, p. 6)</w:t>
      </w:r>
      <w:bookmarkEnd w:id="10"/>
      <w:r w:rsidR="00E14B3C">
        <w:t xml:space="preserve">. </w:t>
      </w:r>
      <w:r w:rsidR="00992472">
        <w:t xml:space="preserve"> (7) Depression could be modified by using medications to treat the symptoms or counseling to find out where the depression stents from.</w:t>
      </w:r>
      <w:r w:rsidR="00B35957">
        <w:t xml:space="preserve"> </w:t>
      </w:r>
      <w:r w:rsidR="00B35957">
        <w:rPr>
          <w:color w:val="FF0000"/>
        </w:rPr>
        <w:t>Cite source</w:t>
      </w:r>
    </w:p>
    <w:p w:rsidR="00B35957" w:rsidRDefault="00B35957" w:rsidP="00FE4735">
      <w:pPr>
        <w:pStyle w:val="APA"/>
      </w:pPr>
      <w:r>
        <w:t xml:space="preserve"> </w:t>
      </w:r>
      <w:proofErr w:type="gramStart"/>
      <w:r w:rsidRPr="00B35957">
        <w:rPr>
          <w:rFonts w:ascii="ITCGaramondStd-Bk" w:hAnsi="ITCGaramondStd-Bk" w:cs="ITCGaramondStd-Bk"/>
          <w:color w:val="FF0000"/>
        </w:rPr>
        <w:t>Gender, race, age, and socioeconomic status</w:t>
      </w:r>
      <w:r>
        <w:rPr>
          <w:rFonts w:ascii="ITCGaramondStd-Bk" w:hAnsi="ITCGaramondStd-Bk" w:cs="ITCGaramondStd-Bk"/>
        </w:rPr>
        <w:t>.</w:t>
      </w:r>
      <w:proofErr w:type="gramEnd"/>
    </w:p>
    <w:p w:rsidR="00FE4735" w:rsidRPr="00B35957" w:rsidRDefault="00992472" w:rsidP="00FE4735">
      <w:pPr>
        <w:pStyle w:val="APA"/>
        <w:rPr>
          <w:color w:val="FF0000"/>
        </w:rPr>
      </w:pPr>
      <w:r>
        <w:t xml:space="preserve"> (8) </w:t>
      </w:r>
      <w:r w:rsidR="00E57B1C">
        <w:t xml:space="preserve">Nutritional supplements interventions such as Vitamin D, carotenoids, creatine, and DHEA will potentially benefit a frail elder. (9) Tia Chi would be a good choice of exercise because of the low risk and the ease of participation </w:t>
      </w:r>
      <w:r w:rsidR="00DA04D4">
        <w:t>confers</w:t>
      </w:r>
      <w:r w:rsidR="00E57B1C">
        <w:t xml:space="preserve"> benefit.</w:t>
      </w:r>
      <w:r w:rsidR="00852529">
        <w:t>”</w:t>
      </w:r>
      <w:r w:rsidR="00E57B1C">
        <w:t xml:space="preserve"> </w:t>
      </w:r>
      <w:r w:rsidR="00852529">
        <w:t>Tia Chi is a slow and gentle exercise regime that involves both physical movement and meditation to improve balance and gait</w:t>
      </w:r>
      <w:bookmarkStart w:id="11" w:name="C409574708680556I0T409576757986111"/>
      <w:r w:rsidR="00852529">
        <w:t xml:space="preserve"> (Benefield &amp; Higbee, 2007, p. 1)</w:t>
      </w:r>
      <w:bookmarkEnd w:id="11"/>
      <w:r w:rsidR="00852529">
        <w:t>.</w:t>
      </w:r>
      <w:r w:rsidR="00C93E42">
        <w:t xml:space="preserve"> (10) Some examples of “universal design”, is to increase the amount of assessment of frailty in health care settings. Health care workers should promptly and accurately refer patients for proper evaluation. Facilities should increase the use of early utilization of tools to prevent further decreasing of patients. </w:t>
      </w:r>
      <w:r w:rsidR="00B35957">
        <w:rPr>
          <w:color w:val="FF0000"/>
        </w:rPr>
        <w:t>Cite source</w:t>
      </w:r>
    </w:p>
    <w:p w:rsidR="00B35957" w:rsidRPr="00B35957" w:rsidRDefault="00B35957" w:rsidP="00B35957">
      <w:pPr>
        <w:overflowPunct/>
        <w:textAlignment w:val="auto"/>
        <w:rPr>
          <w:rFonts w:ascii="ITCGaramondStd-Bk" w:hAnsi="ITCGaramondStd-Bk" w:cs="ITCGaramondStd-Bk"/>
          <w:color w:val="FF0000"/>
        </w:rPr>
      </w:pPr>
      <w:r w:rsidRPr="00B35957">
        <w:rPr>
          <w:rFonts w:ascii="ITCGaramondStd-Bk" w:hAnsi="ITCGaramondStd-Bk" w:cs="ITCGaramondStd-Bk"/>
          <w:color w:val="FF0000"/>
        </w:rPr>
        <w:t>Installing standard electrical receptacles higher than usual above the floor, so they are in easy reach of everyone;</w:t>
      </w:r>
    </w:p>
    <w:p w:rsidR="00B35957" w:rsidRPr="00B35957" w:rsidRDefault="00B35957" w:rsidP="00B35957">
      <w:pPr>
        <w:overflowPunct/>
        <w:textAlignment w:val="auto"/>
        <w:rPr>
          <w:color w:val="FF0000"/>
        </w:rPr>
      </w:pPr>
      <w:r w:rsidRPr="00B35957">
        <w:rPr>
          <w:rFonts w:ascii="ITCGaramondStd-Bk" w:hAnsi="ITCGaramondStd-Bk" w:cs="ITCGaramondStd-Bk"/>
          <w:color w:val="FF0000"/>
        </w:rPr>
        <w:t>• Selecting wider doors, along with wider hallways; • Making flat entrances; • Installing handles for doors and drawers that require no gripping or twisting to operate—such as louver or loop handles; • Provide storage spaces within reach of both short and tall people; • Minimize the need for staircases; • Any and all procedures, equipment, and strategies promoting safety to avoid falls or injuries</w:t>
      </w:r>
    </w:p>
    <w:p w:rsidR="00FE4735" w:rsidRDefault="00FE4735">
      <w:pPr>
        <w:overflowPunct/>
        <w:autoSpaceDE/>
        <w:autoSpaceDN/>
        <w:adjustRightInd/>
        <w:textAlignment w:val="auto"/>
        <w:rPr>
          <w:sz w:val="24"/>
        </w:rPr>
      </w:pPr>
      <w:r>
        <w:lastRenderedPageBreak/>
        <w:br w:type="page"/>
      </w:r>
    </w:p>
    <w:p w:rsidR="00FE4735" w:rsidRDefault="00FE4735" w:rsidP="00FE4735">
      <w:pPr>
        <w:pStyle w:val="APAHeadingCenter"/>
      </w:pPr>
      <w:r>
        <w:lastRenderedPageBreak/>
        <w:t>References</w:t>
      </w:r>
    </w:p>
    <w:p w:rsidR="00FE4735" w:rsidRDefault="00FE4735" w:rsidP="00FE4735">
      <w:pPr>
        <w:pStyle w:val="APAReference"/>
      </w:pPr>
      <w:bookmarkStart w:id="12" w:name="R409574708680556I0"/>
      <w:commentRangeStart w:id="13"/>
      <w:proofErr w:type="spellStart"/>
      <w:proofErr w:type="gramStart"/>
      <w:r>
        <w:t>Benefield</w:t>
      </w:r>
      <w:proofErr w:type="spellEnd"/>
      <w:r>
        <w:t xml:space="preserve">, &amp; </w:t>
      </w:r>
      <w:proofErr w:type="spellStart"/>
      <w:r>
        <w:t>Higbee</w:t>
      </w:r>
      <w:proofErr w:type="spellEnd"/>
      <w:r>
        <w:t xml:space="preserve"> </w:t>
      </w:r>
      <w:commentRangeEnd w:id="13"/>
      <w:r w:rsidR="00B35957">
        <w:rPr>
          <w:rStyle w:val="CommentReference"/>
        </w:rPr>
        <w:commentReference w:id="13"/>
      </w:r>
      <w:r>
        <w:t>(2007</w:t>
      </w:r>
      <w:proofErr w:type="gramEnd"/>
      <w:r>
        <w:t xml:space="preserve">). </w:t>
      </w:r>
      <w:r>
        <w:rPr>
          <w:i/>
        </w:rPr>
        <w:t>Hartford Geriatric Institute for Nursing</w:t>
      </w:r>
      <w:r>
        <w:t>. Retrieved from http://consultgerirn.org/topics/frailty_and_its_implications_for_care_new/want_to_know_more</w:t>
      </w:r>
      <w:bookmarkEnd w:id="12"/>
    </w:p>
    <w:p w:rsidR="00FE4735" w:rsidRPr="00FE4735" w:rsidRDefault="00FE4735" w:rsidP="00FE4735">
      <w:pPr>
        <w:pStyle w:val="APAReference"/>
      </w:pPr>
      <w:bookmarkStart w:id="14" w:name="R409575291435185I0"/>
      <w:commentRangeStart w:id="15"/>
      <w:proofErr w:type="gramStart"/>
      <w:r>
        <w:t xml:space="preserve">Espinoza, &amp; Fried </w:t>
      </w:r>
      <w:commentRangeEnd w:id="15"/>
      <w:r w:rsidR="00B35957">
        <w:rPr>
          <w:rStyle w:val="CommentReference"/>
        </w:rPr>
        <w:commentReference w:id="15"/>
      </w:r>
      <w:r>
        <w:t>(2007</w:t>
      </w:r>
      <w:proofErr w:type="gramEnd"/>
      <w:r>
        <w:t xml:space="preserve">). </w:t>
      </w:r>
      <w:r>
        <w:rPr>
          <w:i/>
        </w:rPr>
        <w:t>Geriatric Syndromes</w:t>
      </w:r>
      <w:r>
        <w:t>. Retrieved from http://www.imsersomayores.csic.es/documentos/boletin/2007/numero-52/art-07-07-01.pdf</w:t>
      </w:r>
      <w:bookmarkEnd w:id="14"/>
    </w:p>
    <w:p w:rsidR="00567AA4" w:rsidRDefault="00567AA4" w:rsidP="00567AA4">
      <w:pPr>
        <w:pStyle w:val="APAHeadingCenter"/>
      </w:pPr>
    </w:p>
    <w:sectPr w:rsidR="00567AA4" w:rsidSect="004B758B">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Mary" w:date="2012-02-27T04:45:00Z" w:initials="M">
    <w:p w:rsidR="00B35957" w:rsidRDefault="00B35957">
      <w:pPr>
        <w:pStyle w:val="CommentText"/>
      </w:pPr>
      <w:r>
        <w:rPr>
          <w:rStyle w:val="CommentReference"/>
        </w:rPr>
        <w:annotationRef/>
      </w:r>
      <w:r>
        <w:t>Need initials of first names</w:t>
      </w:r>
    </w:p>
  </w:comment>
  <w:comment w:id="15" w:author="Mary" w:date="2012-02-27T04:45:00Z" w:initials="M">
    <w:p w:rsidR="00B35957" w:rsidRDefault="00B35957">
      <w:pPr>
        <w:pStyle w:val="CommentText"/>
      </w:pPr>
      <w:r>
        <w:rPr>
          <w:rStyle w:val="CommentReference"/>
        </w:rPr>
        <w:annotationRef/>
      </w:r>
      <w:r>
        <w:t>Same as above. This would be OK in a cite but not in reference list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EB3" w:rsidRDefault="00991EB3">
      <w:r>
        <w:separator/>
      </w:r>
    </w:p>
  </w:endnote>
  <w:endnote w:type="continuationSeparator" w:id="0">
    <w:p w:rsidR="00991EB3" w:rsidRDefault="00991E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957" w:rsidRDefault="00B359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957" w:rsidRDefault="00B359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957" w:rsidRDefault="00B359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EB3" w:rsidRDefault="00991EB3">
      <w:r>
        <w:separator/>
      </w:r>
    </w:p>
  </w:footnote>
  <w:footnote w:type="continuationSeparator" w:id="0">
    <w:p w:rsidR="00991EB3" w:rsidRDefault="00991E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957" w:rsidRDefault="00B359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58B" w:rsidRPr="004B758B" w:rsidRDefault="004B758B" w:rsidP="004B758B">
    <w:pPr>
      <w:pStyle w:val="APAPageHeading"/>
    </w:pPr>
    <w:r>
      <w:t>CASE STUDY #5</w:t>
    </w:r>
    <w:r>
      <w:tab/>
    </w:r>
    <w:fldSimple w:instr=" PAGE  \* MERGEFORMAT ">
      <w:r w:rsidR="00B35957">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58B" w:rsidRPr="004B758B" w:rsidRDefault="004B758B" w:rsidP="004B758B">
    <w:pPr>
      <w:pStyle w:val="APAPageHeading"/>
    </w:pPr>
    <w:r>
      <w:t>Running head: CASE STUDY #5</w:t>
    </w:r>
    <w:r>
      <w:tab/>
    </w:r>
    <w:fldSimple w:instr=" PAGE  \* MERGEFORMAT ">
      <w:r w:rsidR="00B35957">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58B" w:rsidRPr="004B758B" w:rsidRDefault="004B758B" w:rsidP="004B758B">
    <w:pPr>
      <w:pStyle w:val="APAPageHeading"/>
    </w:pPr>
    <w:r>
      <w:t>CASE STUDY #5</w:t>
    </w:r>
    <w:r>
      <w:tab/>
    </w:r>
    <w:fldSimple w:instr=" PAGE  \* MERGEFORMAT ">
      <w:r w:rsidR="00B35957">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56D3"/>
    <w:multiLevelType w:val="hybridMultilevel"/>
    <w:tmpl w:val="2514F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AEC720C"/>
    <w:multiLevelType w:val="hybridMultilevel"/>
    <w:tmpl w:val="B03448E2"/>
    <w:lvl w:ilvl="0" w:tplc="BCE08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docVars>
    <w:docVar w:name="409574708680556I0" w:val="*1,597˜11~~Benefield~~~Higbee~˜12032007˜15Hartford Geriatric Institute for Nursing˜2200˜152˜21950˜2194˜110˜111˜1449˜2690˜1196˜1609http://consultgerirn.org/topics/frailty_and_its_implications_for_care_new/want_to_know_more˜"/>
    <w:docVar w:name="409575291435185I0" w:val="*1,597˜11~~Espinoza~~~Fried~˜12032007˜15Geriatric Syndromes˜2200˜152˜21950˜2194˜110˜111˜1449˜2690˜1196˜1609http://www.imsersomayores.csic.es/documentos/boletin/2007/numero-52/art-07-07-01.pdf˜"/>
    <w:docVar w:name="bmHeaderInfo" w:val="CASE STUDY #5"/>
    <w:docVar w:name="cIsAbstract" w:val="False"/>
    <w:docVar w:name="cPaperAPAOrMLA" w:val="1"/>
    <w:docVar w:name="cUniquePaperID" w:val="409574687615741I0"/>
    <w:docVar w:name="LastEditedVersion" w:val="5"/>
  </w:docVars>
  <w:rsids>
    <w:rsidRoot w:val="00567AA4"/>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311"/>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742"/>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E6991"/>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BAC"/>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58B"/>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67AA4"/>
    <w:rsid w:val="005708C8"/>
    <w:rsid w:val="005721DA"/>
    <w:rsid w:val="00574175"/>
    <w:rsid w:val="0057453C"/>
    <w:rsid w:val="005747A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529"/>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1E68"/>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1EB3"/>
    <w:rsid w:val="00992472"/>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5957"/>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3E42"/>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0CBE"/>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04D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394"/>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B3C"/>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57B1C"/>
    <w:rsid w:val="00E61BE5"/>
    <w:rsid w:val="00E63809"/>
    <w:rsid w:val="00E63F80"/>
    <w:rsid w:val="00E669DF"/>
    <w:rsid w:val="00E7022E"/>
    <w:rsid w:val="00E70369"/>
    <w:rsid w:val="00E71AE1"/>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27D"/>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4735"/>
    <w:rsid w:val="00FE5493"/>
    <w:rsid w:val="00FE5770"/>
    <w:rsid w:val="00FE5A21"/>
    <w:rsid w:val="00FE78D8"/>
    <w:rsid w:val="00FF036A"/>
    <w:rsid w:val="00FF073C"/>
    <w:rsid w:val="00FF0D27"/>
    <w:rsid w:val="00FF2086"/>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E6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1E68"/>
    <w:pPr>
      <w:tabs>
        <w:tab w:val="center" w:pos="4320"/>
        <w:tab w:val="right" w:pos="8640"/>
      </w:tabs>
    </w:pPr>
  </w:style>
  <w:style w:type="paragraph" w:customStyle="1" w:styleId="APA">
    <w:name w:val="APA"/>
    <w:basedOn w:val="BodyText"/>
    <w:rsid w:val="008B1E68"/>
    <w:pPr>
      <w:spacing w:after="0" w:line="480" w:lineRule="auto"/>
      <w:ind w:firstLine="720"/>
    </w:pPr>
    <w:rPr>
      <w:sz w:val="24"/>
    </w:rPr>
  </w:style>
  <w:style w:type="paragraph" w:styleId="BodyText">
    <w:name w:val="Body Text"/>
    <w:basedOn w:val="Normal"/>
    <w:rsid w:val="008B1E68"/>
    <w:pPr>
      <w:spacing w:after="120"/>
    </w:pPr>
  </w:style>
  <w:style w:type="paragraph" w:styleId="Footer">
    <w:name w:val="footer"/>
    <w:basedOn w:val="Normal"/>
    <w:rsid w:val="008B1E68"/>
    <w:pPr>
      <w:tabs>
        <w:tab w:val="center" w:pos="4320"/>
        <w:tab w:val="right" w:pos="8640"/>
      </w:tabs>
    </w:pPr>
  </w:style>
  <w:style w:type="character" w:styleId="PageNumber">
    <w:name w:val="page number"/>
    <w:basedOn w:val="DefaultParagraphFont"/>
    <w:rsid w:val="008B1E68"/>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8B1E68"/>
    <w:pPr>
      <w:ind w:left="720" w:firstLine="0"/>
    </w:pPr>
  </w:style>
  <w:style w:type="paragraph" w:customStyle="1" w:styleId="APABlockQuoteSubsequentPara">
    <w:name w:val="APA Block Quote Subsequent Para"/>
    <w:basedOn w:val="APA"/>
    <w:next w:val="APA"/>
    <w:rsid w:val="008B1E68"/>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8B1E68"/>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8B1E68"/>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B35957"/>
    <w:rPr>
      <w:sz w:val="16"/>
      <w:szCs w:val="16"/>
    </w:rPr>
  </w:style>
  <w:style w:type="paragraph" w:styleId="CommentText">
    <w:name w:val="annotation text"/>
    <w:basedOn w:val="Normal"/>
    <w:link w:val="CommentTextChar"/>
    <w:rsid w:val="00B35957"/>
  </w:style>
  <w:style w:type="character" w:customStyle="1" w:styleId="CommentTextChar">
    <w:name w:val="Comment Text Char"/>
    <w:basedOn w:val="DefaultParagraphFont"/>
    <w:link w:val="CommentText"/>
    <w:rsid w:val="00B35957"/>
  </w:style>
  <w:style w:type="paragraph" w:styleId="CommentSubject">
    <w:name w:val="annotation subject"/>
    <w:basedOn w:val="CommentText"/>
    <w:next w:val="CommentText"/>
    <w:link w:val="CommentSubjectChar"/>
    <w:rsid w:val="00B35957"/>
    <w:rPr>
      <w:b/>
      <w:bCs/>
    </w:rPr>
  </w:style>
  <w:style w:type="character" w:customStyle="1" w:styleId="CommentSubjectChar">
    <w:name w:val="Comment Subject Char"/>
    <w:basedOn w:val="CommentTextChar"/>
    <w:link w:val="CommentSubject"/>
    <w:rsid w:val="00B35957"/>
    <w:rPr>
      <w:b/>
      <w:bCs/>
    </w:rPr>
  </w:style>
  <w:style w:type="paragraph" w:styleId="BalloonText">
    <w:name w:val="Balloon Text"/>
    <w:basedOn w:val="Normal"/>
    <w:link w:val="BalloonTextChar"/>
    <w:rsid w:val="00B35957"/>
    <w:rPr>
      <w:rFonts w:ascii="Tahoma" w:hAnsi="Tahoma" w:cs="Tahoma"/>
      <w:sz w:val="16"/>
      <w:szCs w:val="16"/>
    </w:rPr>
  </w:style>
  <w:style w:type="character" w:customStyle="1" w:styleId="BalloonTextChar">
    <w:name w:val="Balloon Text Char"/>
    <w:basedOn w:val="DefaultParagraphFont"/>
    <w:link w:val="BalloonText"/>
    <w:rsid w:val="00B359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9</TotalTime>
  <Pages>5</Pages>
  <Words>770</Words>
  <Characters>4222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Case Study #5</vt:lpstr>
    </vt:vector>
  </TitlesOfParts>
  <Company/>
  <LinksUpToDate>false</LinksUpToDate>
  <CharactersWithSpaces>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#5</dc:title>
  <dc:subject>Copyright</dc:subject>
  <dc:creator>Chelsea Oberheim</dc:creator>
  <cp:lastModifiedBy>Mary</cp:lastModifiedBy>
  <cp:revision>2</cp:revision>
  <dcterms:created xsi:type="dcterms:W3CDTF">2012-02-27T10:49:00Z</dcterms:created>
  <dcterms:modified xsi:type="dcterms:W3CDTF">2012-02-27T10:49:00Z</dcterms:modified>
</cp:coreProperties>
</file>