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9A" w:rsidRDefault="00BE2F9A" w:rsidP="00BE2F9A">
      <w:pPr>
        <w:pStyle w:val="APA"/>
      </w:pPr>
    </w:p>
    <w:p w:rsidR="00BE2F9A" w:rsidRDefault="00BE2F9A" w:rsidP="00BE2F9A">
      <w:pPr>
        <w:pStyle w:val="APA"/>
      </w:pPr>
    </w:p>
    <w:p w:rsidR="00BE2F9A" w:rsidRDefault="00BE2F9A" w:rsidP="00BE2F9A">
      <w:pPr>
        <w:pStyle w:val="APA"/>
      </w:pPr>
    </w:p>
    <w:p w:rsidR="00BE2F9A" w:rsidRDefault="00BE2F9A" w:rsidP="00BE2F9A">
      <w:pPr>
        <w:pStyle w:val="APA"/>
      </w:pPr>
    </w:p>
    <w:p w:rsidR="00BE2F9A" w:rsidRDefault="00BE2F9A" w:rsidP="00BE2F9A">
      <w:pPr>
        <w:pStyle w:val="APA"/>
      </w:pPr>
    </w:p>
    <w:p w:rsidR="00BE2F9A" w:rsidRPr="00CB6921" w:rsidRDefault="00CB6921" w:rsidP="00BE2F9A">
      <w:pPr>
        <w:pStyle w:val="APA"/>
        <w:rPr>
          <w:color w:val="FF0000"/>
        </w:rPr>
      </w:pPr>
      <w:r w:rsidRPr="00CB6921">
        <w:rPr>
          <w:color w:val="FF0000"/>
        </w:rPr>
        <w:t>14.5</w:t>
      </w:r>
    </w:p>
    <w:p w:rsidR="00BE2F9A" w:rsidRDefault="00BE2F9A" w:rsidP="00BE2F9A">
      <w:pPr>
        <w:pStyle w:val="APA"/>
      </w:pPr>
    </w:p>
    <w:p w:rsidR="00BE2F9A" w:rsidRDefault="00BE2F9A" w:rsidP="00BE2F9A">
      <w:pPr>
        <w:pStyle w:val="APAHeadingCenter"/>
      </w:pPr>
      <w:bookmarkStart w:id="0" w:name="bmTitlePageTitle"/>
      <w:r>
        <w:t>Case Study #4</w:t>
      </w:r>
      <w:bookmarkEnd w:id="0"/>
    </w:p>
    <w:p w:rsidR="00BE2F9A" w:rsidRDefault="00BE2F9A" w:rsidP="00BE2F9A">
      <w:pPr>
        <w:pStyle w:val="APAHeadingCenter"/>
      </w:pPr>
      <w:bookmarkStart w:id="1" w:name="bmTitlePageName"/>
      <w:r>
        <w:t>Chelsea Oberheim</w:t>
      </w:r>
      <w:bookmarkEnd w:id="1"/>
    </w:p>
    <w:p w:rsidR="00BE2F9A" w:rsidRDefault="00BE2F9A" w:rsidP="00BE2F9A">
      <w:pPr>
        <w:pStyle w:val="APAHeadingCenter"/>
      </w:pPr>
      <w:bookmarkStart w:id="2" w:name="bmTitlePageInst"/>
      <w:r>
        <w:t>Lakeview College of Nursing</w:t>
      </w:r>
      <w:bookmarkEnd w:id="2"/>
    </w:p>
    <w:p w:rsidR="00BE2F9A" w:rsidRDefault="00BE2F9A" w:rsidP="00BE2F9A">
      <w:pPr>
        <w:pStyle w:val="APAHeadingCenter"/>
      </w:pPr>
      <w:bookmarkStart w:id="3" w:name="bmTitleAdd1"/>
      <w:proofErr w:type="spellStart"/>
      <w:r>
        <w:t>Geronotology</w:t>
      </w:r>
      <w:bookmarkEnd w:id="3"/>
      <w:proofErr w:type="spellEnd"/>
    </w:p>
    <w:p w:rsidR="00BE2F9A" w:rsidRDefault="00BE2F9A" w:rsidP="00BE2F9A">
      <w:pPr>
        <w:pStyle w:val="APAHeadingCenter"/>
      </w:pPr>
      <w:bookmarkStart w:id="4" w:name="bmTitleAdd2"/>
      <w:r>
        <w:t>N309</w:t>
      </w:r>
      <w:bookmarkEnd w:id="4"/>
    </w:p>
    <w:p w:rsidR="00BE2F9A" w:rsidRDefault="00BE2F9A" w:rsidP="00BE2F9A">
      <w:pPr>
        <w:pStyle w:val="APAHeadingCenter"/>
      </w:pPr>
      <w:bookmarkStart w:id="5" w:name="bmTitleAdd3"/>
      <w:r>
        <w:t>Mary Edwards</w:t>
      </w:r>
      <w:bookmarkEnd w:id="5"/>
    </w:p>
    <w:p w:rsidR="00BE2F9A" w:rsidRDefault="00BE2F9A" w:rsidP="00BE2F9A">
      <w:pPr>
        <w:pStyle w:val="APAHeadingCenter"/>
      </w:pPr>
      <w:bookmarkStart w:id="6" w:name="bmTitleAdd4"/>
      <w:r>
        <w:t>February 09, 2012</w:t>
      </w:r>
      <w:bookmarkEnd w:id="6"/>
    </w:p>
    <w:p w:rsidR="00BE2F9A" w:rsidRDefault="00BE2F9A" w:rsidP="00BE2F9A">
      <w:pPr>
        <w:pStyle w:val="APA"/>
        <w:sectPr w:rsidR="00BE2F9A" w:rsidSect="00BE2F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E2F9A" w:rsidRDefault="00BE2F9A" w:rsidP="00BE2F9A">
      <w:pPr>
        <w:pStyle w:val="APA"/>
        <w:sectPr w:rsidR="00BE2F9A" w:rsidSect="00BE2F9A">
          <w:headerReference w:type="first" r:id="rId12"/>
          <w:type w:val="continuous"/>
          <w:pgSz w:w="12240" w:h="15840" w:code="1"/>
          <w:pgMar w:top="1440" w:right="1440" w:bottom="1440" w:left="1440" w:header="720" w:footer="720" w:gutter="0"/>
          <w:cols w:space="720"/>
          <w:titlePg/>
          <w:docGrid w:linePitch="360"/>
        </w:sectPr>
      </w:pPr>
    </w:p>
    <w:p w:rsidR="00BE2F9A" w:rsidRDefault="00BE2F9A" w:rsidP="00BE2F9A">
      <w:pPr>
        <w:pStyle w:val="APAHeadingCenter"/>
      </w:pPr>
      <w:bookmarkStart w:id="7" w:name="bmFirstPageTitle"/>
      <w:r>
        <w:lastRenderedPageBreak/>
        <w:t>Case Study #4</w:t>
      </w:r>
      <w:bookmarkEnd w:id="7"/>
    </w:p>
    <w:p w:rsidR="00CB6921" w:rsidRDefault="00157D84" w:rsidP="0013319E">
      <w:pPr>
        <w:pStyle w:val="APA"/>
        <w:rPr>
          <w:color w:val="FF0000"/>
        </w:rPr>
      </w:pPr>
      <w:r>
        <w:t xml:space="preserve">Constipation is defined as </w:t>
      </w:r>
      <w:r w:rsidR="0013319E">
        <w:t xml:space="preserve">a condition in which a person has uncomfortable or infrequent bowel movements </w:t>
      </w:r>
      <w:bookmarkStart w:id="8" w:name="C409488632175926I0T409507141550926"/>
      <w:r w:rsidR="0013319E">
        <w:t>(Merck, 2009, p. 1)</w:t>
      </w:r>
      <w:bookmarkEnd w:id="8"/>
      <w:r w:rsidR="0013319E">
        <w:t xml:space="preserve">. This condition can be chronic or acute. The patient with constipation may </w:t>
      </w:r>
      <w:r w:rsidR="00780462">
        <w:t xml:space="preserve">always or often produce hard stools. After the bowel movement is produced the rectum often doesn’t feel empty </w:t>
      </w:r>
      <w:bookmarkStart w:id="9" w:name="C409488632175926I0T409507322337963"/>
      <w:r w:rsidR="00780462">
        <w:t>(Merck, 2009, p. 1)</w:t>
      </w:r>
      <w:bookmarkEnd w:id="9"/>
      <w:r w:rsidR="00780462">
        <w:t xml:space="preserve">. Just because a person doesn’t produce a </w:t>
      </w:r>
      <w:commentRangeStart w:id="10"/>
      <w:r w:rsidR="00780462">
        <w:t xml:space="preserve">bowel movement everyday does not mean they are constipated. In my opinion </w:t>
      </w:r>
      <w:commentRangeEnd w:id="10"/>
      <w:r w:rsidR="00CB6921">
        <w:rPr>
          <w:rStyle w:val="CommentReference"/>
        </w:rPr>
        <w:commentReference w:id="10"/>
      </w:r>
      <w:r w:rsidR="00780462">
        <w:t>I feel Georges’ constipation is caused by dehydration and cognitive impairment. Additional causes of constipation include, dehydration and low fiber diet. When patient do not drink enough fluids their stool becomes hard to pass.</w:t>
      </w:r>
      <w:r w:rsidR="0089548C">
        <w:t xml:space="preserve"> Elderly patients may have a decreased sense of thirst, which leads to dehydration </w:t>
      </w:r>
      <w:bookmarkStart w:id="11" w:name="C409507101851852I0T409507393171296"/>
      <w:r w:rsidR="0089548C">
        <w:t>(</w:t>
      </w:r>
      <w:proofErr w:type="spellStart"/>
      <w:r w:rsidR="00CB6921">
        <w:rPr>
          <w:color w:val="FF0000"/>
        </w:rPr>
        <w:t>Mauk</w:t>
      </w:r>
      <w:proofErr w:type="spellEnd"/>
      <w:r w:rsidR="0089548C">
        <w:t>, 2010, p. 239)</w:t>
      </w:r>
      <w:bookmarkEnd w:id="11"/>
      <w:r w:rsidR="0089548C">
        <w:t xml:space="preserve">. </w:t>
      </w:r>
      <w:r w:rsidR="00780462">
        <w:t xml:space="preserve"> </w:t>
      </w:r>
      <w:r w:rsidR="0089548C">
        <w:t xml:space="preserve">Patients should eat plenty of fruits and veggies to ensure they are consuming plenty of fiber to keep their bowels </w:t>
      </w:r>
      <w:proofErr w:type="gramStart"/>
      <w:r w:rsidR="0089548C" w:rsidRPr="0089548C">
        <w:t>moving</w:t>
      </w:r>
      <w:bookmarkStart w:id="12" w:name="C409507101851852I0T409507385648148"/>
      <w:r w:rsidR="0089548C">
        <w:t>(</w:t>
      </w:r>
      <w:proofErr w:type="spellStart"/>
      <w:proofErr w:type="gramEnd"/>
      <w:r w:rsidR="0089548C">
        <w:t>Mau</w:t>
      </w:r>
      <w:r w:rsidR="00CB6921">
        <w:rPr>
          <w:color w:val="FF0000"/>
        </w:rPr>
        <w:t>k</w:t>
      </w:r>
      <w:proofErr w:type="spellEnd"/>
    </w:p>
    <w:p w:rsidR="0013319E" w:rsidRDefault="0089548C" w:rsidP="0013319E">
      <w:pPr>
        <w:pStyle w:val="APA"/>
      </w:pPr>
      <w:r>
        <w:t xml:space="preserve">, </w:t>
      </w:r>
      <w:r w:rsidRPr="0089548C">
        <w:t>2010</w:t>
      </w:r>
      <w:r>
        <w:t>, p. 239)</w:t>
      </w:r>
      <w:bookmarkEnd w:id="12"/>
      <w:r>
        <w:t xml:space="preserve">. </w:t>
      </w:r>
      <w:r w:rsidR="00780462" w:rsidRPr="0089548C">
        <w:t>Consumption</w:t>
      </w:r>
      <w:r w:rsidR="00780462">
        <w:t xml:space="preserve"> is pain medications can also cause constipation. </w:t>
      </w:r>
      <w:proofErr w:type="gramStart"/>
      <w:r w:rsidR="00780462">
        <w:t xml:space="preserve">Some mental disorders </w:t>
      </w:r>
      <w:r>
        <w:t xml:space="preserve">medications that </w:t>
      </w:r>
      <w:r w:rsidR="00780462">
        <w:t>have constipation as a side effect</w:t>
      </w:r>
      <w:r w:rsidR="0067699F">
        <w:t>.</w:t>
      </w:r>
      <w:proofErr w:type="gramEnd"/>
      <w:r w:rsidR="0067699F">
        <w:t xml:space="preserve"> </w:t>
      </w:r>
      <w:r>
        <w:t xml:space="preserve">Constipation can be a side effect of aging as well. Elderly patients are at risk for </w:t>
      </w:r>
      <w:proofErr w:type="spellStart"/>
      <w:r>
        <w:t>Dyschezia</w:t>
      </w:r>
      <w:proofErr w:type="spellEnd"/>
      <w:r>
        <w:t xml:space="preserve"> which is the inability to control their pelvic muscles leading to constipation. Medication classes that cause constipation include </w:t>
      </w:r>
      <w:proofErr w:type="spellStart"/>
      <w:r>
        <w:t>opioids</w:t>
      </w:r>
      <w:proofErr w:type="spellEnd"/>
      <w:r>
        <w:t xml:space="preserve">, antihistamines, antidepressants, </w:t>
      </w:r>
      <w:proofErr w:type="spellStart"/>
      <w:r>
        <w:t>antihypertensives</w:t>
      </w:r>
      <w:proofErr w:type="spellEnd"/>
      <w:r>
        <w:t xml:space="preserve">, sedatives, and common antacids. Complications of constipation are rectal bleeding and </w:t>
      </w:r>
      <w:proofErr w:type="spellStart"/>
      <w:r>
        <w:t>hemmoroids</w:t>
      </w:r>
      <w:proofErr w:type="spellEnd"/>
      <w:r>
        <w:t xml:space="preserve">. When a person has to strain to pass a bowel movement, it increases the pressure on the vessels in the rectum, this could cause the vessel to rupture and then rectal bleeding can occur. </w:t>
      </w:r>
      <w:proofErr w:type="spellStart"/>
      <w:r>
        <w:t>Hemmoroids</w:t>
      </w:r>
      <w:proofErr w:type="spellEnd"/>
      <w:r>
        <w:t xml:space="preserve"> are also </w:t>
      </w:r>
      <w:proofErr w:type="gramStart"/>
      <w:r>
        <w:t>cause</w:t>
      </w:r>
      <w:proofErr w:type="gramEnd"/>
      <w:r>
        <w:t xml:space="preserve"> when the patient has to strain for have a bowel movement. </w:t>
      </w:r>
      <w:r w:rsidR="00C55027">
        <w:t xml:space="preserve">There are several treatments for constipation. If there is </w:t>
      </w:r>
      <w:proofErr w:type="gramStart"/>
      <w:r w:rsidR="00C55027">
        <w:t>a</w:t>
      </w:r>
      <w:proofErr w:type="gramEnd"/>
      <w:r w:rsidR="00C55027">
        <w:t xml:space="preserve"> underlying disease process that is causing the constipation then the disease should be treated </w:t>
      </w:r>
      <w:bookmarkStart w:id="13" w:name="C409488632175926I0T409507459837963"/>
      <w:r w:rsidR="00C55027">
        <w:t>(Merck, 2009, p. 1)</w:t>
      </w:r>
      <w:bookmarkEnd w:id="13"/>
      <w:r w:rsidR="00C55027">
        <w:t xml:space="preserve">. Bulking agents such as bran and </w:t>
      </w:r>
      <w:proofErr w:type="spellStart"/>
      <w:r w:rsidR="00C55027">
        <w:t>psyllium</w:t>
      </w:r>
      <w:proofErr w:type="spellEnd"/>
      <w:r w:rsidR="00C55027">
        <w:t xml:space="preserve"> release a natural stimulant that caused contractions of the intestines. This medication causes softening of the stool which </w:t>
      </w:r>
      <w:r w:rsidR="00C55027">
        <w:lastRenderedPageBreak/>
        <w:t xml:space="preserve">makes it easier to the bowel movement to pass. Stool softeners cause </w:t>
      </w:r>
      <w:proofErr w:type="gramStart"/>
      <w:r w:rsidR="00C55027">
        <w:t>a</w:t>
      </w:r>
      <w:proofErr w:type="gramEnd"/>
      <w:r w:rsidR="00C55027">
        <w:t xml:space="preserve"> increase in the amount of water that can be held in the stool. This type of treatment is good for patients that must avoid straining due to surgery to the rectum. </w:t>
      </w:r>
      <w:proofErr w:type="spellStart"/>
      <w:r w:rsidR="00C55027">
        <w:t>Osomotic</w:t>
      </w:r>
      <w:proofErr w:type="spellEnd"/>
      <w:r w:rsidR="00C55027">
        <w:t xml:space="preserve"> agents pull large amounts of water into the large intestine making the stool soft and loose. This type of treatment should not be used for patients that have increase fluid retention due to heart failure or kidney disease. This type of treatment contains magnesium and phosphate when could potentially be harmful to a patient with kidney failure </w:t>
      </w:r>
      <w:bookmarkStart w:id="14" w:name="C409488632175926I0T409507501851852"/>
      <w:r w:rsidR="00C55027">
        <w:t>(Merck, 2009, p. 1)</w:t>
      </w:r>
      <w:bookmarkEnd w:id="14"/>
      <w:r w:rsidR="00C55027">
        <w:t xml:space="preserve">. Stimulant laxatives contain irritating substances that stimulant the wall of the intestine and cause them to contract and move the stool. There are several nonmedical treatments to constipation. These treatments include drinking plenty of fluids, increasing the fiber in the diet and </w:t>
      </w:r>
      <w:r w:rsidR="00225520">
        <w:t xml:space="preserve">increasing physical activities. The nurse should inform </w:t>
      </w:r>
      <w:proofErr w:type="gramStart"/>
      <w:r w:rsidR="00225520">
        <w:t>Georges</w:t>
      </w:r>
      <w:proofErr w:type="gramEnd"/>
      <w:r w:rsidR="00225520">
        <w:t xml:space="preserve"> families things to watch out for. MOM can cause diarrhea when could deplete the body of potassium, this could cause muscle cramps. She should let the family know so they can watch for this problem. The nurse should ensure George and his family know to take MOM as directed. If he has persistent vomiting, abdominal, or no bowel movement after taking this medication he should contact his doctor. </w:t>
      </w:r>
      <w:r w:rsidR="00CB6921">
        <w:t xml:space="preserve"> </w:t>
      </w:r>
    </w:p>
    <w:p w:rsidR="00CB6921" w:rsidRPr="00CB6921" w:rsidRDefault="00CB6921" w:rsidP="00CB6921">
      <w:pPr>
        <w:overflowPunct/>
        <w:textAlignment w:val="auto"/>
        <w:rPr>
          <w:rFonts w:ascii="ITCGaramondStd-Bk" w:hAnsi="ITCGaramondStd-Bk" w:cs="ITCGaramondStd-Bk"/>
          <w:color w:val="FF0000"/>
        </w:rPr>
      </w:pPr>
      <w:r w:rsidRPr="00CB6921">
        <w:rPr>
          <w:color w:val="FF0000"/>
        </w:rPr>
        <w:t xml:space="preserve"> </w:t>
      </w:r>
      <w:r w:rsidRPr="00CB6921">
        <w:rPr>
          <w:rFonts w:ascii="ITCGaramondStd-Bk" w:hAnsi="ITCGaramondStd-Bk" w:cs="ITCGaramondStd-Bk"/>
          <w:color w:val="FF0000"/>
        </w:rPr>
        <w:t>Recommendations for further management of George’s constipation with MOM should include the following:</w:t>
      </w:r>
    </w:p>
    <w:p w:rsidR="00CB6921" w:rsidRPr="00CB6921" w:rsidRDefault="00CB6921" w:rsidP="00CB6921">
      <w:pPr>
        <w:overflowPunct/>
        <w:textAlignment w:val="auto"/>
        <w:rPr>
          <w:color w:val="FF0000"/>
        </w:rPr>
      </w:pPr>
      <w:r w:rsidRPr="00CB6921">
        <w:rPr>
          <w:rFonts w:ascii="ITCGaramondStd-Bk" w:hAnsi="ITCGaramondStd-Bk" w:cs="ITCGaramondStd-Bk"/>
          <w:color w:val="FF0000"/>
        </w:rPr>
        <w:t>•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CB6921" w:rsidRPr="00CB6921" w:rsidRDefault="00CB6921" w:rsidP="00CB6921">
      <w:pPr>
        <w:tabs>
          <w:tab w:val="left" w:pos="3780"/>
        </w:tabs>
        <w:overflowPunct/>
        <w:autoSpaceDE/>
        <w:autoSpaceDN/>
        <w:adjustRightInd/>
        <w:textAlignment w:val="auto"/>
        <w:rPr>
          <w:color w:val="FF0000"/>
        </w:rPr>
      </w:pPr>
    </w:p>
    <w:p w:rsidR="00CB6921" w:rsidRPr="00CB6921" w:rsidRDefault="00CB6921" w:rsidP="00CB6921">
      <w:pPr>
        <w:tabs>
          <w:tab w:val="left" w:pos="3780"/>
        </w:tabs>
        <w:overflowPunct/>
        <w:autoSpaceDE/>
        <w:autoSpaceDN/>
        <w:adjustRightInd/>
        <w:textAlignment w:val="auto"/>
        <w:rPr>
          <w:color w:val="FF0000"/>
        </w:rPr>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CB6921" w:rsidRDefault="00CB6921" w:rsidP="00CB6921">
      <w:pPr>
        <w:tabs>
          <w:tab w:val="left" w:pos="3780"/>
        </w:tabs>
        <w:overflowPunct/>
        <w:autoSpaceDE/>
        <w:autoSpaceDN/>
        <w:adjustRightInd/>
        <w:textAlignment w:val="auto"/>
      </w:pPr>
    </w:p>
    <w:p w:rsidR="0013319E" w:rsidRDefault="00CB6921" w:rsidP="00CB6921">
      <w:pPr>
        <w:tabs>
          <w:tab w:val="left" w:pos="3780"/>
        </w:tabs>
        <w:overflowPunct/>
        <w:autoSpaceDE/>
        <w:autoSpaceDN/>
        <w:adjustRightInd/>
        <w:textAlignment w:val="auto"/>
        <w:rPr>
          <w:sz w:val="24"/>
        </w:rPr>
      </w:pPr>
      <w:r>
        <w:tab/>
      </w:r>
    </w:p>
    <w:p w:rsidR="0013319E" w:rsidRDefault="0013319E" w:rsidP="0013319E">
      <w:pPr>
        <w:pStyle w:val="APAHeadingCenter"/>
      </w:pPr>
      <w:r>
        <w:t>References</w:t>
      </w:r>
    </w:p>
    <w:p w:rsidR="0013319E" w:rsidRDefault="0013319E" w:rsidP="0013319E">
      <w:pPr>
        <w:pStyle w:val="APAReference"/>
      </w:pPr>
      <w:bookmarkStart w:id="15" w:name="R409488614351852I0"/>
      <w:r>
        <w:t xml:space="preserve">Gutierrez, K. (2008). </w:t>
      </w:r>
      <w:proofErr w:type="spellStart"/>
      <w:r>
        <w:rPr>
          <w:i/>
        </w:rPr>
        <w:t>Pharmacotherapeutics</w:t>
      </w:r>
      <w:proofErr w:type="spellEnd"/>
      <w:r>
        <w:rPr>
          <w:i/>
        </w:rPr>
        <w:t>: Clinical reasoning in primary care</w:t>
      </w:r>
      <w:r>
        <w:t xml:space="preserve"> (2nd </w:t>
      </w:r>
      <w:proofErr w:type="gramStart"/>
      <w:r>
        <w:t>ed</w:t>
      </w:r>
      <w:proofErr w:type="gramEnd"/>
      <w:r>
        <w:t>.). St. Louis, MO: Saunders.</w:t>
      </w:r>
      <w:bookmarkEnd w:id="15"/>
    </w:p>
    <w:p w:rsidR="0013319E" w:rsidRDefault="0013319E" w:rsidP="0013319E">
      <w:pPr>
        <w:pStyle w:val="APAReference"/>
      </w:pPr>
      <w:bookmarkStart w:id="16" w:name="R409507101851852I0"/>
      <w:proofErr w:type="gramStart"/>
      <w:r>
        <w:t>Maul, K. L. (2010).</w:t>
      </w:r>
      <w:proofErr w:type="gramEnd"/>
      <w:r>
        <w:t xml:space="preserve"> </w:t>
      </w:r>
      <w:proofErr w:type="spellStart"/>
      <w:r>
        <w:rPr>
          <w:i/>
        </w:rPr>
        <w:t>Gerontological</w:t>
      </w:r>
      <w:proofErr w:type="spellEnd"/>
      <w:r>
        <w:rPr>
          <w:i/>
        </w:rPr>
        <w:t xml:space="preserve"> Nursing Competencies </w:t>
      </w:r>
      <w:proofErr w:type="gramStart"/>
      <w:r>
        <w:rPr>
          <w:i/>
        </w:rPr>
        <w:t>For</w:t>
      </w:r>
      <w:proofErr w:type="gramEnd"/>
      <w:r>
        <w:rPr>
          <w:i/>
        </w:rPr>
        <w:t xml:space="preserve"> Care</w:t>
      </w:r>
      <w:r>
        <w:t xml:space="preserve"> (2nd ed.). Sudbury, MA: Jones and </w:t>
      </w:r>
      <w:proofErr w:type="spellStart"/>
      <w:proofErr w:type="gramStart"/>
      <w:r>
        <w:t>Barlett</w:t>
      </w:r>
      <w:proofErr w:type="spellEnd"/>
      <w:r>
        <w:t xml:space="preserve"> .</w:t>
      </w:r>
      <w:bookmarkEnd w:id="16"/>
      <w:proofErr w:type="gramEnd"/>
    </w:p>
    <w:p w:rsidR="0013319E" w:rsidRDefault="0013319E" w:rsidP="0013319E">
      <w:pPr>
        <w:pStyle w:val="APAReference"/>
      </w:pPr>
      <w:bookmarkStart w:id="17" w:name="R409488632175926I0"/>
      <w:proofErr w:type="gramStart"/>
      <w:r>
        <w:t>Merck (2009).</w:t>
      </w:r>
      <w:proofErr w:type="gramEnd"/>
      <w:r>
        <w:t xml:space="preserve"> </w:t>
      </w:r>
      <w:r>
        <w:rPr>
          <w:i/>
        </w:rPr>
        <w:t xml:space="preserve">The Merck manual of </w:t>
      </w:r>
      <w:proofErr w:type="spellStart"/>
      <w:r>
        <w:rPr>
          <w:i/>
        </w:rPr>
        <w:t>geriaterics</w:t>
      </w:r>
      <w:proofErr w:type="spellEnd"/>
      <w:r>
        <w:rPr>
          <w:i/>
        </w:rPr>
        <w:t xml:space="preserve">: Chapter 110. </w:t>
      </w:r>
      <w:proofErr w:type="gramStart"/>
      <w:r>
        <w:rPr>
          <w:i/>
        </w:rPr>
        <w:t>Constipation, diarrhea, and fecal incontinence.</w:t>
      </w:r>
      <w:proofErr w:type="gramEnd"/>
      <w:r>
        <w:t xml:space="preserve"> Retrieved from http://www.merck.com/mkgr/mmg/sec13/ch110/ch110a.jsp</w:t>
      </w:r>
      <w:bookmarkEnd w:id="17"/>
    </w:p>
    <w:p w:rsidR="0013319E" w:rsidRPr="0013319E" w:rsidRDefault="0013319E" w:rsidP="0013319E">
      <w:pPr>
        <w:pStyle w:val="APAReference"/>
      </w:pPr>
      <w:bookmarkStart w:id="18" w:name="R409488653587963I0"/>
      <w:proofErr w:type="spellStart"/>
      <w:r>
        <w:t>Tabloski</w:t>
      </w:r>
      <w:proofErr w:type="spellEnd"/>
      <w:r>
        <w:t xml:space="preserve">, P. (2010). </w:t>
      </w:r>
      <w:proofErr w:type="gramStart"/>
      <w:r>
        <w:t>The gastrointestinal system.</w:t>
      </w:r>
      <w:proofErr w:type="gramEnd"/>
      <w:r>
        <w:t xml:space="preserve"> </w:t>
      </w:r>
      <w:proofErr w:type="gramStart"/>
      <w:r>
        <w:t xml:space="preserve">In P.A. </w:t>
      </w:r>
      <w:proofErr w:type="spellStart"/>
      <w:r>
        <w:t>Tabloski</w:t>
      </w:r>
      <w:proofErr w:type="spellEnd"/>
      <w:r>
        <w:t xml:space="preserve"> (Ed.), </w:t>
      </w:r>
      <w:proofErr w:type="spellStart"/>
      <w:r>
        <w:rPr>
          <w:i/>
        </w:rPr>
        <w:t>Gerontological</w:t>
      </w:r>
      <w:proofErr w:type="spellEnd"/>
      <w:r>
        <w:rPr>
          <w:i/>
        </w:rPr>
        <w:t xml:space="preserve"> nursing.</w:t>
      </w:r>
      <w:proofErr w:type="gramEnd"/>
      <w:r>
        <w:rPr>
          <w:i/>
        </w:rPr>
        <w:t xml:space="preserve"> </w:t>
      </w:r>
      <w:r>
        <w:t>(2nd ed., pp. 693-695). Upper Saddle River NJ: Pearson.</w:t>
      </w:r>
      <w:bookmarkEnd w:id="18"/>
    </w:p>
    <w:p w:rsidR="00D911A7" w:rsidRDefault="00D911A7" w:rsidP="00D911A7">
      <w:pPr>
        <w:pStyle w:val="APAHeadingCenter"/>
      </w:pPr>
    </w:p>
    <w:sectPr w:rsidR="00D911A7" w:rsidSect="00BE2F9A">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Mary" w:date="2012-02-17T21:27:00Z" w:initials="M">
    <w:p w:rsidR="00CB6921" w:rsidRDefault="00CB6921">
      <w:pPr>
        <w:pStyle w:val="CommentText"/>
      </w:pPr>
      <w:r>
        <w:rPr>
          <w:rStyle w:val="CommentReference"/>
        </w:rPr>
        <w:annotationRef/>
      </w:r>
      <w:r>
        <w:t xml:space="preserve">Number your responses so I know which answer the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650" w:rsidRDefault="009C4650">
      <w:r>
        <w:separator/>
      </w:r>
    </w:p>
  </w:endnote>
  <w:endnote w:type="continuationSeparator" w:id="0">
    <w:p w:rsidR="009C4650" w:rsidRDefault="009C4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9A" w:rsidRDefault="00BE2F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9A" w:rsidRDefault="00BE2F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9A" w:rsidRDefault="00BE2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650" w:rsidRDefault="009C4650">
      <w:r>
        <w:separator/>
      </w:r>
    </w:p>
  </w:footnote>
  <w:footnote w:type="continuationSeparator" w:id="0">
    <w:p w:rsidR="009C4650" w:rsidRDefault="009C4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9A" w:rsidRDefault="00BE2F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9A" w:rsidRPr="00BE2F9A" w:rsidRDefault="00BE2F9A" w:rsidP="00BE2F9A">
    <w:pPr>
      <w:pStyle w:val="APAPageHeading"/>
    </w:pPr>
    <w:r>
      <w:t>CASE STUDY #4</w:t>
    </w:r>
    <w:r>
      <w:tab/>
    </w:r>
    <w:fldSimple w:instr=" PAGE  \* MERGEFORMAT ">
      <w:r w:rsidR="00CB6921">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9A" w:rsidRPr="00BE2F9A" w:rsidRDefault="00BE2F9A" w:rsidP="00BE2F9A">
    <w:pPr>
      <w:pStyle w:val="APAPageHeading"/>
    </w:pPr>
    <w:r>
      <w:t>Running head: CASE STUDY #4</w:t>
    </w:r>
    <w:r>
      <w:tab/>
    </w:r>
    <w:fldSimple w:instr=" PAGE  \* MERGEFORMAT ">
      <w:r w:rsidR="00CB6921">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9A" w:rsidRPr="00BE2F9A" w:rsidRDefault="00BE2F9A" w:rsidP="00BE2F9A">
    <w:pPr>
      <w:pStyle w:val="APAPageHeading"/>
    </w:pPr>
    <w:r>
      <w:t>CASE STUDY #4</w:t>
    </w:r>
    <w:r>
      <w:tab/>
    </w:r>
    <w:fldSimple w:instr=" PAGE  \* MERGEFORMAT ">
      <w:r w:rsidR="00CB6921">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09488614351852I0" w:val="*1,597˜11K.~~Gutierrez~˜12032008˜15Pharmacotherapeutics: Clinical reasoning in primary care˜2201˜1522nd˜21951˜21940˜110St. Louis, MO˜111Saunders˜1449˜269˜1196˜1609˜"/>
    <w:docVar w:name="409488632175926I0" w:val="*1,597˜11~~Merck~˜12032009˜15The Merck manual of geriaterics: Chapter 110. Constipation, diarrhea, and fecal incontinence.˜2200˜152˜21950˜2194˜110˜111˜1449˜2690˜1196˜1609http://www.merck.com/mkgr/mmg/sec13/ch110/ch110a.jsp˜"/>
    <w:docVar w:name="409488653587963I0" w:val="*1,597˜11P~~Tabloski~˜12032010˜15The gastrointestional system. In P.A. Tabloski (Ed.), gernotological nursing.˜2201˜1522nd, pp. 693-695˜21951˜21940˜110Upper Saddle River NJ˜111Pearson˜1449˜269˜1196˜1609˜"/>
    <w:docVar w:name="409507101851852I0" w:val="*1,597˜11Kristen~L.~Maul~˜12032010˜15Gerontological Nursing Competencies For Care˜2201˜1522nd˜21951˜21940˜110Sudbury, MA˜111Jones and Barlett ˜1449˜2690˜1196˜1609˜"/>
    <w:docVar w:name="bmHeaderInfo" w:val="CASE STUDY #4"/>
    <w:docVar w:name="cIsAbstract" w:val="False"/>
    <w:docVar w:name="cPaperAPAOrMLA" w:val="1"/>
    <w:docVar w:name="cUniquePaperID" w:val="409488601273148I0"/>
    <w:docVar w:name="LastEditedVersion" w:val="5"/>
  </w:docVars>
  <w:rsids>
    <w:rsidRoot w:val="00D911A7"/>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319E"/>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D84"/>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520"/>
    <w:rsid w:val="0022564A"/>
    <w:rsid w:val="0022727A"/>
    <w:rsid w:val="00227800"/>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160"/>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99F"/>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62"/>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48C"/>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50"/>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5976"/>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2F9A"/>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5027"/>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B6921"/>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1A7"/>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20D"/>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160"/>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7160"/>
    <w:pPr>
      <w:tabs>
        <w:tab w:val="center" w:pos="4320"/>
        <w:tab w:val="right" w:pos="8640"/>
      </w:tabs>
    </w:pPr>
  </w:style>
  <w:style w:type="paragraph" w:customStyle="1" w:styleId="APA">
    <w:name w:val="APA"/>
    <w:basedOn w:val="BodyText"/>
    <w:rsid w:val="005B7160"/>
    <w:pPr>
      <w:spacing w:after="0" w:line="480" w:lineRule="auto"/>
      <w:ind w:firstLine="720"/>
    </w:pPr>
    <w:rPr>
      <w:sz w:val="24"/>
    </w:rPr>
  </w:style>
  <w:style w:type="paragraph" w:styleId="BodyText">
    <w:name w:val="Body Text"/>
    <w:basedOn w:val="Normal"/>
    <w:rsid w:val="005B7160"/>
    <w:pPr>
      <w:spacing w:after="120"/>
    </w:pPr>
  </w:style>
  <w:style w:type="paragraph" w:styleId="Footer">
    <w:name w:val="footer"/>
    <w:basedOn w:val="Normal"/>
    <w:rsid w:val="005B7160"/>
    <w:pPr>
      <w:tabs>
        <w:tab w:val="center" w:pos="4320"/>
        <w:tab w:val="right" w:pos="8640"/>
      </w:tabs>
    </w:pPr>
  </w:style>
  <w:style w:type="character" w:styleId="PageNumber">
    <w:name w:val="page number"/>
    <w:basedOn w:val="DefaultParagraphFont"/>
    <w:rsid w:val="005B7160"/>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5B7160"/>
    <w:pPr>
      <w:ind w:left="720" w:firstLine="0"/>
    </w:pPr>
  </w:style>
  <w:style w:type="paragraph" w:customStyle="1" w:styleId="APABlockQuoteSubsequentPara">
    <w:name w:val="APA Block Quote Subsequent Para"/>
    <w:basedOn w:val="APA"/>
    <w:next w:val="APA"/>
    <w:rsid w:val="005B7160"/>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5B7160"/>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5B7160"/>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CB6921"/>
    <w:rPr>
      <w:sz w:val="16"/>
      <w:szCs w:val="16"/>
    </w:rPr>
  </w:style>
  <w:style w:type="paragraph" w:styleId="CommentText">
    <w:name w:val="annotation text"/>
    <w:basedOn w:val="Normal"/>
    <w:link w:val="CommentTextChar"/>
    <w:rsid w:val="00CB6921"/>
  </w:style>
  <w:style w:type="character" w:customStyle="1" w:styleId="CommentTextChar">
    <w:name w:val="Comment Text Char"/>
    <w:basedOn w:val="DefaultParagraphFont"/>
    <w:link w:val="CommentText"/>
    <w:rsid w:val="00CB6921"/>
  </w:style>
  <w:style w:type="paragraph" w:styleId="CommentSubject">
    <w:name w:val="annotation subject"/>
    <w:basedOn w:val="CommentText"/>
    <w:next w:val="CommentText"/>
    <w:link w:val="CommentSubjectChar"/>
    <w:rsid w:val="00CB6921"/>
    <w:rPr>
      <w:b/>
      <w:bCs/>
    </w:rPr>
  </w:style>
  <w:style w:type="character" w:customStyle="1" w:styleId="CommentSubjectChar">
    <w:name w:val="Comment Subject Char"/>
    <w:basedOn w:val="CommentTextChar"/>
    <w:link w:val="CommentSubject"/>
    <w:rsid w:val="00CB6921"/>
    <w:rPr>
      <w:b/>
      <w:bCs/>
    </w:rPr>
  </w:style>
  <w:style w:type="paragraph" w:styleId="BalloonText">
    <w:name w:val="Balloon Text"/>
    <w:basedOn w:val="Normal"/>
    <w:link w:val="BalloonTextChar"/>
    <w:rsid w:val="00CB6921"/>
    <w:rPr>
      <w:rFonts w:ascii="Tahoma" w:hAnsi="Tahoma" w:cs="Tahoma"/>
      <w:sz w:val="16"/>
      <w:szCs w:val="16"/>
    </w:rPr>
  </w:style>
  <w:style w:type="character" w:customStyle="1" w:styleId="BalloonTextChar">
    <w:name w:val="Balloon Text Char"/>
    <w:basedOn w:val="DefaultParagraphFont"/>
    <w:link w:val="BalloonText"/>
    <w:rsid w:val="00CB6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TotalTime>
  <Pages>4</Pages>
  <Words>726</Words>
  <Characters>3945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Case Study #4</vt:lpstr>
    </vt:vector>
  </TitlesOfParts>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dc:title>
  <dc:subject>Copyright</dc:subject>
  <dc:creator>Chelsea Oberheim</dc:creator>
  <cp:lastModifiedBy>Mary</cp:lastModifiedBy>
  <cp:revision>2</cp:revision>
  <dcterms:created xsi:type="dcterms:W3CDTF">2012-02-18T03:34:00Z</dcterms:created>
  <dcterms:modified xsi:type="dcterms:W3CDTF">2012-02-18T03:34:00Z</dcterms:modified>
</cp:coreProperties>
</file>