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1A1" w:rsidRDefault="002041A1" w:rsidP="002041A1">
      <w:pPr>
        <w:pStyle w:val="APA"/>
      </w:pPr>
    </w:p>
    <w:p w:rsidR="002041A1" w:rsidRPr="0091394F" w:rsidRDefault="0091394F" w:rsidP="002041A1">
      <w:pPr>
        <w:pStyle w:val="APA"/>
        <w:rPr>
          <w:color w:val="FF0000"/>
        </w:rPr>
      </w:pPr>
      <w:bookmarkStart w:id="0" w:name="_GoBack"/>
      <w:r w:rsidRPr="0091394F">
        <w:rPr>
          <w:color w:val="FF0000"/>
        </w:rPr>
        <w:t>13/15</w:t>
      </w:r>
    </w:p>
    <w:bookmarkEnd w:id="0"/>
    <w:p w:rsidR="002041A1" w:rsidRDefault="002041A1" w:rsidP="002041A1">
      <w:pPr>
        <w:pStyle w:val="APA"/>
      </w:pPr>
    </w:p>
    <w:p w:rsidR="002041A1" w:rsidRPr="0091394F" w:rsidRDefault="0091394F" w:rsidP="002041A1">
      <w:pPr>
        <w:pStyle w:val="APA"/>
        <w:rPr>
          <w:color w:val="FF0000"/>
        </w:rPr>
      </w:pPr>
      <w:r w:rsidRPr="0091394F">
        <w:rPr>
          <w:color w:val="FF0000"/>
        </w:rPr>
        <w:t xml:space="preserve">Chelsea </w:t>
      </w:r>
      <w:proofErr w:type="spellStart"/>
      <w:proofErr w:type="gramStart"/>
      <w:r w:rsidRPr="0091394F">
        <w:rPr>
          <w:color w:val="FF0000"/>
        </w:rPr>
        <w:t>Oberheim</w:t>
      </w:r>
      <w:proofErr w:type="spellEnd"/>
      <w:r w:rsidRPr="0091394F">
        <w:rPr>
          <w:color w:val="FF0000"/>
        </w:rPr>
        <w:t xml:space="preserve">  You</w:t>
      </w:r>
      <w:proofErr w:type="gramEnd"/>
      <w:r w:rsidRPr="0091394F">
        <w:rPr>
          <w:color w:val="FF0000"/>
        </w:rPr>
        <w:t xml:space="preserve"> know this is to be double spaced and it is hard to read. When you have questions that you have to choose but the letter down and there is no answer 7 on the last</w:t>
      </w:r>
    </w:p>
    <w:p w:rsidR="002041A1" w:rsidRDefault="002041A1" w:rsidP="002041A1">
      <w:pPr>
        <w:pStyle w:val="APA"/>
      </w:pPr>
    </w:p>
    <w:p w:rsidR="002041A1" w:rsidRDefault="002041A1" w:rsidP="002041A1">
      <w:pPr>
        <w:pStyle w:val="APA"/>
      </w:pPr>
    </w:p>
    <w:p w:rsidR="002041A1" w:rsidRDefault="002041A1" w:rsidP="002041A1">
      <w:pPr>
        <w:pStyle w:val="APA"/>
      </w:pPr>
    </w:p>
    <w:p w:rsidR="002041A1" w:rsidRDefault="002041A1" w:rsidP="002041A1">
      <w:pPr>
        <w:pStyle w:val="APAHeadingCenter"/>
      </w:pPr>
      <w:bookmarkStart w:id="1" w:name="bmTitlePageTitle"/>
      <w:r>
        <w:t>Cultural Diversity</w:t>
      </w:r>
      <w:bookmarkEnd w:id="1"/>
    </w:p>
    <w:p w:rsidR="002041A1" w:rsidRDefault="002041A1" w:rsidP="002041A1">
      <w:pPr>
        <w:pStyle w:val="APAHeadingCenter"/>
      </w:pPr>
      <w:bookmarkStart w:id="2" w:name="bmTitlePageName"/>
      <w:r>
        <w:t xml:space="preserve">Chelsea </w:t>
      </w:r>
      <w:proofErr w:type="spellStart"/>
      <w:r>
        <w:t>Oberheim</w:t>
      </w:r>
      <w:bookmarkEnd w:id="2"/>
      <w:proofErr w:type="spellEnd"/>
    </w:p>
    <w:p w:rsidR="002041A1" w:rsidRDefault="002041A1" w:rsidP="002041A1">
      <w:pPr>
        <w:pStyle w:val="APAHeadingCenter"/>
      </w:pPr>
      <w:bookmarkStart w:id="3" w:name="bmTitlePageInst"/>
      <w:r>
        <w:t>Lakeview College of Nursing</w:t>
      </w:r>
      <w:bookmarkEnd w:id="3"/>
    </w:p>
    <w:p w:rsidR="002041A1" w:rsidRDefault="002041A1" w:rsidP="002041A1">
      <w:pPr>
        <w:pStyle w:val="APAHeadingCenter"/>
      </w:pPr>
      <w:bookmarkStart w:id="4" w:name="bmTitleAdd1"/>
      <w:r>
        <w:t>N 309</w:t>
      </w:r>
      <w:bookmarkEnd w:id="4"/>
    </w:p>
    <w:p w:rsidR="002041A1" w:rsidRDefault="002041A1" w:rsidP="002041A1">
      <w:pPr>
        <w:pStyle w:val="APAHeadingCenter"/>
      </w:pPr>
      <w:bookmarkStart w:id="5" w:name="bmTitleAdd2"/>
      <w:bookmarkEnd w:id="5"/>
    </w:p>
    <w:p w:rsidR="002041A1" w:rsidRDefault="002041A1" w:rsidP="002041A1">
      <w:pPr>
        <w:pStyle w:val="APAHeadingCenter"/>
      </w:pPr>
      <w:bookmarkStart w:id="6" w:name="bmTitleAdd3"/>
      <w:r>
        <w:t>Mary Edwards</w:t>
      </w:r>
      <w:bookmarkEnd w:id="6"/>
    </w:p>
    <w:p w:rsidR="002041A1" w:rsidRDefault="002041A1" w:rsidP="002041A1">
      <w:pPr>
        <w:pStyle w:val="APAHeadingCenter"/>
      </w:pPr>
      <w:bookmarkStart w:id="7" w:name="bmTitleAdd4"/>
      <w:r>
        <w:t>April 12, 2012</w:t>
      </w:r>
      <w:bookmarkEnd w:id="7"/>
    </w:p>
    <w:p w:rsidR="002041A1" w:rsidRDefault="002041A1" w:rsidP="002041A1">
      <w:pPr>
        <w:pStyle w:val="APA"/>
        <w:sectPr w:rsidR="002041A1" w:rsidSect="002041A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2041A1" w:rsidRDefault="002041A1" w:rsidP="002041A1">
      <w:pPr>
        <w:pStyle w:val="APA"/>
        <w:sectPr w:rsidR="002041A1" w:rsidSect="002041A1">
          <w:headerReference w:type="first" r:id="rId14"/>
          <w:type w:val="continuous"/>
          <w:pgSz w:w="12240" w:h="15840" w:code="1"/>
          <w:pgMar w:top="1440" w:right="1440" w:bottom="1440" w:left="1440" w:header="720" w:footer="720" w:gutter="0"/>
          <w:cols w:space="720"/>
          <w:titlePg/>
          <w:docGrid w:linePitch="360"/>
        </w:sectPr>
      </w:pPr>
    </w:p>
    <w:p w:rsidR="002041A1" w:rsidRDefault="002041A1" w:rsidP="002041A1">
      <w:pPr>
        <w:pStyle w:val="APAHeadingCenter"/>
      </w:pPr>
      <w:bookmarkStart w:id="8" w:name="bmFirstPageTitle"/>
      <w:r>
        <w:lastRenderedPageBreak/>
        <w:t>Cultural Diversity</w:t>
      </w:r>
      <w:bookmarkEnd w:id="8"/>
    </w:p>
    <w:p w:rsidR="00713E88" w:rsidRDefault="00713E88" w:rsidP="00713E88">
      <w:pPr>
        <w:pStyle w:val="APA"/>
        <w:ind w:left="720"/>
      </w:pPr>
      <w:r>
        <w:t>(1)</w:t>
      </w:r>
      <w:r w:rsidR="00D857F2">
        <w:t xml:space="preserve">The five minimum components which are generally included in the definition of culture include; </w:t>
      </w:r>
      <w:r>
        <w:t>shared knowledge, beliefs, language, skills, and</w:t>
      </w:r>
      <w:bookmarkStart w:id="9" w:name="C410117520023148I0T410117534722222"/>
      <w:r>
        <w:t xml:space="preserve"> views on subjects (McBride, </w:t>
      </w:r>
      <w:proofErr w:type="spellStart"/>
      <w:r>
        <w:t>n.d.</w:t>
      </w:r>
      <w:proofErr w:type="spellEnd"/>
      <w:r>
        <w:t>)</w:t>
      </w:r>
      <w:bookmarkEnd w:id="9"/>
      <w:r>
        <w:t xml:space="preserve">. (2) </w:t>
      </w:r>
      <w:r w:rsidR="006772EC">
        <w:t xml:space="preserve">Ethnocentrism happens when people make false assumptions based on their own limited experiences. An example of an ethnocentric comment would be someone saying someone was “white trash” because they lived in a trailer in a mobile community or that all people from Kentucky are inbred within their families. </w:t>
      </w:r>
    </w:p>
    <w:p w:rsidR="00713E88" w:rsidRPr="00713E88" w:rsidRDefault="00713E88" w:rsidP="006772EC">
      <w:pPr>
        <w:pStyle w:val="APA"/>
        <w:ind w:firstLine="0"/>
      </w:pPr>
      <w:r>
        <w:t>(3)</w:t>
      </w:r>
    </w:p>
    <w:tbl>
      <w:tblPr>
        <w:tblStyle w:val="TableGrid"/>
        <w:tblW w:w="0" w:type="auto"/>
        <w:tblLook w:val="04A0" w:firstRow="1" w:lastRow="0" w:firstColumn="1" w:lastColumn="0" w:noHBand="0" w:noVBand="1"/>
      </w:tblPr>
      <w:tblGrid>
        <w:gridCol w:w="3192"/>
        <w:gridCol w:w="3192"/>
        <w:gridCol w:w="3192"/>
      </w:tblGrid>
      <w:tr w:rsidR="00713E88" w:rsidTr="00713E88">
        <w:tc>
          <w:tcPr>
            <w:tcW w:w="3192" w:type="dxa"/>
          </w:tcPr>
          <w:p w:rsidR="00713E88" w:rsidRDefault="00713E88" w:rsidP="00713E88">
            <w:pPr>
              <w:pStyle w:val="APA"/>
              <w:ind w:firstLine="0"/>
            </w:pPr>
          </w:p>
        </w:tc>
        <w:tc>
          <w:tcPr>
            <w:tcW w:w="3192" w:type="dxa"/>
          </w:tcPr>
          <w:p w:rsidR="00713E88" w:rsidRPr="00DC5654" w:rsidRDefault="00713E88" w:rsidP="006772EC">
            <w:pPr>
              <w:pStyle w:val="APA"/>
              <w:ind w:firstLine="0"/>
              <w:jc w:val="center"/>
              <w:rPr>
                <w:b/>
              </w:rPr>
            </w:pPr>
            <w:r w:rsidRPr="00DC5654">
              <w:rPr>
                <w:b/>
              </w:rPr>
              <w:t>2010</w:t>
            </w:r>
          </w:p>
        </w:tc>
        <w:tc>
          <w:tcPr>
            <w:tcW w:w="3192" w:type="dxa"/>
          </w:tcPr>
          <w:p w:rsidR="00713E88" w:rsidRPr="00DC5654" w:rsidRDefault="00713E88" w:rsidP="006772EC">
            <w:pPr>
              <w:pStyle w:val="APA"/>
              <w:ind w:firstLine="0"/>
              <w:jc w:val="center"/>
              <w:rPr>
                <w:b/>
              </w:rPr>
            </w:pPr>
            <w:r w:rsidRPr="00DC5654">
              <w:rPr>
                <w:b/>
              </w:rPr>
              <w:t>2050</w:t>
            </w:r>
          </w:p>
        </w:tc>
      </w:tr>
      <w:tr w:rsidR="00713E88" w:rsidTr="00713E88">
        <w:tc>
          <w:tcPr>
            <w:tcW w:w="3192" w:type="dxa"/>
          </w:tcPr>
          <w:p w:rsidR="00713E88" w:rsidRPr="00DC5654" w:rsidRDefault="006772EC" w:rsidP="006772EC">
            <w:pPr>
              <w:pStyle w:val="APA"/>
              <w:ind w:firstLine="0"/>
              <w:jc w:val="center"/>
              <w:rPr>
                <w:b/>
              </w:rPr>
            </w:pPr>
            <w:r w:rsidRPr="00DC5654">
              <w:rPr>
                <w:b/>
              </w:rPr>
              <w:t>% of White non-Hispanic</w:t>
            </w:r>
          </w:p>
        </w:tc>
        <w:tc>
          <w:tcPr>
            <w:tcW w:w="3192" w:type="dxa"/>
          </w:tcPr>
          <w:p w:rsidR="00713E88" w:rsidRDefault="006772EC" w:rsidP="006772EC">
            <w:pPr>
              <w:pStyle w:val="APA"/>
              <w:ind w:firstLine="0"/>
              <w:jc w:val="center"/>
            </w:pPr>
            <w:r>
              <w:t>64.7%</w:t>
            </w:r>
          </w:p>
        </w:tc>
        <w:tc>
          <w:tcPr>
            <w:tcW w:w="3192" w:type="dxa"/>
          </w:tcPr>
          <w:p w:rsidR="00713E88" w:rsidRDefault="006772EC" w:rsidP="006772EC">
            <w:pPr>
              <w:pStyle w:val="APA"/>
              <w:ind w:firstLine="0"/>
              <w:jc w:val="center"/>
            </w:pPr>
            <w:r>
              <w:t>46.3%</w:t>
            </w:r>
          </w:p>
        </w:tc>
      </w:tr>
      <w:tr w:rsidR="00713E88" w:rsidTr="00713E88">
        <w:tc>
          <w:tcPr>
            <w:tcW w:w="3192" w:type="dxa"/>
          </w:tcPr>
          <w:p w:rsidR="00713E88" w:rsidRPr="00DC5654" w:rsidRDefault="006772EC" w:rsidP="006772EC">
            <w:pPr>
              <w:pStyle w:val="APA"/>
              <w:ind w:firstLine="0"/>
              <w:jc w:val="center"/>
              <w:rPr>
                <w:b/>
              </w:rPr>
            </w:pPr>
            <w:r w:rsidRPr="00DC5654">
              <w:rPr>
                <w:b/>
              </w:rPr>
              <w:t>% Hispanic</w:t>
            </w:r>
          </w:p>
        </w:tc>
        <w:tc>
          <w:tcPr>
            <w:tcW w:w="3192" w:type="dxa"/>
          </w:tcPr>
          <w:p w:rsidR="00713E88" w:rsidRDefault="006772EC" w:rsidP="006772EC">
            <w:pPr>
              <w:pStyle w:val="APA"/>
              <w:ind w:firstLine="0"/>
              <w:jc w:val="center"/>
            </w:pPr>
            <w:r>
              <w:t>16.0%</w:t>
            </w:r>
          </w:p>
        </w:tc>
        <w:tc>
          <w:tcPr>
            <w:tcW w:w="3192" w:type="dxa"/>
          </w:tcPr>
          <w:p w:rsidR="00713E88" w:rsidRDefault="006772EC" w:rsidP="006772EC">
            <w:pPr>
              <w:pStyle w:val="APA"/>
              <w:ind w:firstLine="0"/>
              <w:jc w:val="center"/>
            </w:pPr>
            <w:r>
              <w:t>30.2%</w:t>
            </w:r>
          </w:p>
        </w:tc>
      </w:tr>
      <w:tr w:rsidR="00713E88" w:rsidTr="00713E88">
        <w:tc>
          <w:tcPr>
            <w:tcW w:w="3192" w:type="dxa"/>
          </w:tcPr>
          <w:p w:rsidR="00713E88" w:rsidRPr="00DC5654" w:rsidRDefault="006772EC" w:rsidP="006772EC">
            <w:pPr>
              <w:pStyle w:val="APA"/>
              <w:ind w:firstLine="0"/>
              <w:jc w:val="center"/>
              <w:rPr>
                <w:b/>
              </w:rPr>
            </w:pPr>
            <w:r w:rsidRPr="00DC5654">
              <w:rPr>
                <w:b/>
              </w:rPr>
              <w:t>% African American Non-Hispanic</w:t>
            </w:r>
          </w:p>
        </w:tc>
        <w:tc>
          <w:tcPr>
            <w:tcW w:w="3192" w:type="dxa"/>
          </w:tcPr>
          <w:p w:rsidR="00713E88" w:rsidRDefault="006772EC" w:rsidP="006772EC">
            <w:pPr>
              <w:pStyle w:val="APA"/>
              <w:ind w:firstLine="0"/>
              <w:jc w:val="center"/>
            </w:pPr>
            <w:r>
              <w:t>12.2%</w:t>
            </w:r>
          </w:p>
        </w:tc>
        <w:tc>
          <w:tcPr>
            <w:tcW w:w="3192" w:type="dxa"/>
          </w:tcPr>
          <w:p w:rsidR="00713E88" w:rsidRDefault="00DC5654" w:rsidP="006772EC">
            <w:pPr>
              <w:pStyle w:val="APA"/>
              <w:ind w:firstLine="0"/>
              <w:jc w:val="center"/>
            </w:pPr>
            <w:r>
              <w:t>11.8%</w:t>
            </w:r>
          </w:p>
        </w:tc>
      </w:tr>
      <w:tr w:rsidR="00713E88" w:rsidTr="00713E88">
        <w:tc>
          <w:tcPr>
            <w:tcW w:w="3192" w:type="dxa"/>
          </w:tcPr>
          <w:p w:rsidR="00713E88" w:rsidRPr="00DC5654" w:rsidRDefault="006772EC" w:rsidP="006772EC">
            <w:pPr>
              <w:pStyle w:val="APA"/>
              <w:ind w:firstLine="0"/>
              <w:jc w:val="center"/>
              <w:rPr>
                <w:b/>
              </w:rPr>
            </w:pPr>
            <w:r w:rsidRPr="00DC5654">
              <w:rPr>
                <w:b/>
              </w:rPr>
              <w:t>%  Asian</w:t>
            </w:r>
          </w:p>
        </w:tc>
        <w:tc>
          <w:tcPr>
            <w:tcW w:w="3192" w:type="dxa"/>
          </w:tcPr>
          <w:p w:rsidR="00713E88" w:rsidRDefault="00DC5654" w:rsidP="00DC5654">
            <w:pPr>
              <w:pStyle w:val="APA"/>
              <w:ind w:firstLine="0"/>
              <w:jc w:val="center"/>
            </w:pPr>
            <w:r>
              <w:t>4.5%</w:t>
            </w:r>
          </w:p>
        </w:tc>
        <w:tc>
          <w:tcPr>
            <w:tcW w:w="3192" w:type="dxa"/>
          </w:tcPr>
          <w:p w:rsidR="00713E88" w:rsidRDefault="00DC5654" w:rsidP="00DC5654">
            <w:pPr>
              <w:pStyle w:val="APA"/>
              <w:ind w:firstLine="0"/>
              <w:jc w:val="center"/>
            </w:pPr>
            <w:r>
              <w:t>7.6%</w:t>
            </w:r>
          </w:p>
        </w:tc>
      </w:tr>
      <w:tr w:rsidR="00713E88" w:rsidTr="00713E88">
        <w:tc>
          <w:tcPr>
            <w:tcW w:w="3192" w:type="dxa"/>
          </w:tcPr>
          <w:p w:rsidR="00713E88" w:rsidRPr="00DC5654" w:rsidRDefault="006772EC" w:rsidP="006772EC">
            <w:pPr>
              <w:pStyle w:val="APA"/>
              <w:ind w:firstLine="0"/>
              <w:jc w:val="center"/>
              <w:rPr>
                <w:b/>
              </w:rPr>
            </w:pPr>
            <w:r w:rsidRPr="00DC5654">
              <w:rPr>
                <w:b/>
              </w:rPr>
              <w:t>% Native Hawaiian and Pacific Islander</w:t>
            </w:r>
          </w:p>
        </w:tc>
        <w:tc>
          <w:tcPr>
            <w:tcW w:w="3192" w:type="dxa"/>
          </w:tcPr>
          <w:p w:rsidR="00713E88" w:rsidRDefault="00DC5654" w:rsidP="00DC5654">
            <w:pPr>
              <w:pStyle w:val="APA"/>
              <w:ind w:firstLine="0"/>
              <w:jc w:val="center"/>
            </w:pPr>
            <w:r>
              <w:t>0.1%</w:t>
            </w:r>
          </w:p>
        </w:tc>
        <w:tc>
          <w:tcPr>
            <w:tcW w:w="3192" w:type="dxa"/>
          </w:tcPr>
          <w:p w:rsidR="00713E88" w:rsidRDefault="00DC5654" w:rsidP="00DC5654">
            <w:pPr>
              <w:pStyle w:val="APA"/>
              <w:ind w:firstLine="0"/>
              <w:jc w:val="center"/>
            </w:pPr>
            <w:r>
              <w:t>0.2%</w:t>
            </w:r>
          </w:p>
        </w:tc>
      </w:tr>
      <w:tr w:rsidR="00713E88" w:rsidTr="00713E88">
        <w:tc>
          <w:tcPr>
            <w:tcW w:w="3192" w:type="dxa"/>
          </w:tcPr>
          <w:p w:rsidR="00713E88" w:rsidRPr="00DC5654" w:rsidRDefault="006772EC" w:rsidP="006772EC">
            <w:pPr>
              <w:pStyle w:val="APA"/>
              <w:ind w:firstLine="0"/>
              <w:jc w:val="center"/>
              <w:rPr>
                <w:b/>
              </w:rPr>
            </w:pPr>
            <w:r w:rsidRPr="00DC5654">
              <w:rPr>
                <w:b/>
              </w:rPr>
              <w:t>% American Indian and Alaskan Native</w:t>
            </w:r>
          </w:p>
        </w:tc>
        <w:tc>
          <w:tcPr>
            <w:tcW w:w="3192" w:type="dxa"/>
          </w:tcPr>
          <w:p w:rsidR="00713E88" w:rsidRDefault="00DC5654" w:rsidP="00DC5654">
            <w:pPr>
              <w:pStyle w:val="APA"/>
              <w:ind w:firstLine="0"/>
              <w:jc w:val="center"/>
            </w:pPr>
            <w:r>
              <w:t>0.8%</w:t>
            </w:r>
          </w:p>
        </w:tc>
        <w:tc>
          <w:tcPr>
            <w:tcW w:w="3192" w:type="dxa"/>
          </w:tcPr>
          <w:p w:rsidR="00713E88" w:rsidRDefault="00DC5654" w:rsidP="00DC5654">
            <w:pPr>
              <w:pStyle w:val="APA"/>
              <w:ind w:firstLine="0"/>
              <w:jc w:val="center"/>
            </w:pPr>
            <w:r>
              <w:t>0.8%</w:t>
            </w:r>
          </w:p>
        </w:tc>
      </w:tr>
      <w:tr w:rsidR="00713E88" w:rsidTr="00713E88">
        <w:tc>
          <w:tcPr>
            <w:tcW w:w="3192" w:type="dxa"/>
          </w:tcPr>
          <w:p w:rsidR="00713E88" w:rsidRPr="00DC5654" w:rsidRDefault="006772EC" w:rsidP="006772EC">
            <w:pPr>
              <w:pStyle w:val="APA"/>
              <w:ind w:firstLine="0"/>
              <w:jc w:val="center"/>
              <w:rPr>
                <w:b/>
              </w:rPr>
            </w:pPr>
            <w:r w:rsidRPr="00DC5654">
              <w:rPr>
                <w:b/>
              </w:rPr>
              <w:t>% Two or more races</w:t>
            </w:r>
          </w:p>
        </w:tc>
        <w:tc>
          <w:tcPr>
            <w:tcW w:w="3192" w:type="dxa"/>
          </w:tcPr>
          <w:p w:rsidR="00713E88" w:rsidRDefault="00DC5654" w:rsidP="00DC5654">
            <w:pPr>
              <w:pStyle w:val="APA"/>
              <w:ind w:firstLine="0"/>
              <w:jc w:val="center"/>
            </w:pPr>
            <w:r>
              <w:t>1.5%</w:t>
            </w:r>
          </w:p>
        </w:tc>
        <w:tc>
          <w:tcPr>
            <w:tcW w:w="3192" w:type="dxa"/>
          </w:tcPr>
          <w:p w:rsidR="00713E88" w:rsidRDefault="00DC5654" w:rsidP="00DC5654">
            <w:pPr>
              <w:pStyle w:val="APA"/>
              <w:ind w:firstLine="0"/>
              <w:jc w:val="center"/>
            </w:pPr>
            <w:r>
              <w:t>3.0%</w:t>
            </w:r>
          </w:p>
        </w:tc>
      </w:tr>
    </w:tbl>
    <w:p w:rsidR="00713E88" w:rsidRPr="00713E88" w:rsidRDefault="00FD1691" w:rsidP="00713E88">
      <w:pPr>
        <w:pStyle w:val="APA"/>
      </w:pPr>
      <w:r>
        <w:t xml:space="preserve">                                                                                         (Kaiser Family Foundation, 2010) </w:t>
      </w:r>
    </w:p>
    <w:p w:rsidR="00713E88" w:rsidRPr="0047163E" w:rsidRDefault="00DC5654" w:rsidP="0047163E">
      <w:pPr>
        <w:spacing w:after="120" w:line="336" w:lineRule="atLeast"/>
        <w:rPr>
          <w:color w:val="444444"/>
          <w:sz w:val="24"/>
          <w:szCs w:val="24"/>
        </w:rPr>
      </w:pPr>
      <w:r>
        <w:rPr>
          <w:sz w:val="24"/>
          <w:szCs w:val="24"/>
        </w:rPr>
        <w:t>(4</w:t>
      </w:r>
      <w:commentRangeStart w:id="10"/>
      <w:r>
        <w:rPr>
          <w:sz w:val="24"/>
          <w:szCs w:val="24"/>
        </w:rPr>
        <w:t xml:space="preserve">) I believe based on this chart that in 2050 the need for nurses will increase based in the influx of the percentage from 2010 to 2050. There will be a need for an increase of nurses to help care for the increase of people. (5) I am </w:t>
      </w:r>
      <w:r w:rsidR="00B7609B">
        <w:rPr>
          <w:sz w:val="24"/>
          <w:szCs w:val="24"/>
        </w:rPr>
        <w:t xml:space="preserve">100% North America, modern culture. We don’t have tradition from Ireland or Germany that we practice in our family. We have traditions we set for ourselves like always eating a big dinner when we get together. We live a few hours from each </w:t>
      </w:r>
      <w:commentRangeEnd w:id="10"/>
      <w:r w:rsidR="0091394F">
        <w:rPr>
          <w:rStyle w:val="CommentReference"/>
        </w:rPr>
        <w:lastRenderedPageBreak/>
        <w:commentReference w:id="10"/>
      </w:r>
      <w:r w:rsidR="00B7609B">
        <w:rPr>
          <w:sz w:val="24"/>
          <w:szCs w:val="24"/>
        </w:rPr>
        <w:t xml:space="preserve">other so we don’t see each other very often, usually on major holidays, but now that I am married I will be splitting the holidays with every other between my family and my husbands. (6) When preparing to assess and an older person, I think it would be appropriate to ask for help in understanding the client’s cultural components as needed, this way there is no confusion and a person can make sure to use this information to make sure that care if completed as culturally specified.  Secondly I think that it would be appropriate to avoid the “invisible patient syndrome”. Everyone wants to feel important and treated uniquely. As nurses we need to make sure are care is patient specific not just the same for everyone. </w:t>
      </w:r>
      <w:r w:rsidR="00B7609B" w:rsidRPr="0047163E">
        <w:rPr>
          <w:sz w:val="24"/>
          <w:szCs w:val="24"/>
        </w:rPr>
        <w:t>(7)</w:t>
      </w:r>
      <w:r w:rsidR="00B30428" w:rsidRPr="0047163E">
        <w:rPr>
          <w:sz w:val="24"/>
          <w:szCs w:val="24"/>
        </w:rPr>
        <w:t xml:space="preserve"> </w:t>
      </w:r>
      <w:r w:rsidR="005C5B67" w:rsidRPr="0047163E">
        <w:rPr>
          <w:sz w:val="24"/>
          <w:szCs w:val="24"/>
        </w:rPr>
        <w:t>Provide patients with a choice about physical proximity by asking them to sit wherever they like.</w:t>
      </w:r>
      <w:r w:rsidR="0047163E" w:rsidRPr="0047163E">
        <w:rPr>
          <w:sz w:val="24"/>
          <w:szCs w:val="24"/>
        </w:rPr>
        <w:t xml:space="preserve"> </w:t>
      </w:r>
      <w:r w:rsidR="005C5B67" w:rsidRPr="005C5B67">
        <w:rPr>
          <w:sz w:val="24"/>
          <w:szCs w:val="24"/>
        </w:rPr>
        <w:t>Individuals from some cultures (e.g., Northern European) tend to prefer to be about an arm's length away from another person while those from some other cultures tend to prefer closer proximity (e.g., some Hispanic/Latino cultures) or greater distance (e.g., some Asian cultures)</w:t>
      </w:r>
      <w:r w:rsidR="0047163E">
        <w:rPr>
          <w:sz w:val="24"/>
          <w:szCs w:val="24"/>
        </w:rPr>
        <w:t xml:space="preserve"> </w:t>
      </w:r>
      <w:r w:rsidR="0047163E" w:rsidRPr="0047163E">
        <w:rPr>
          <w:sz w:val="24"/>
          <w:szCs w:val="24"/>
        </w:rPr>
        <w:t xml:space="preserve">(McBride, </w:t>
      </w:r>
      <w:proofErr w:type="spellStart"/>
      <w:r w:rsidR="0047163E" w:rsidRPr="0047163E">
        <w:rPr>
          <w:sz w:val="24"/>
          <w:szCs w:val="24"/>
        </w:rPr>
        <w:t>n.d.</w:t>
      </w:r>
      <w:proofErr w:type="spellEnd"/>
      <w:r w:rsidR="0047163E" w:rsidRPr="0047163E">
        <w:rPr>
          <w:sz w:val="24"/>
          <w:szCs w:val="24"/>
        </w:rPr>
        <w:t>).</w:t>
      </w:r>
      <w:r w:rsidR="0047163E">
        <w:rPr>
          <w:color w:val="444444"/>
          <w:sz w:val="24"/>
          <w:szCs w:val="24"/>
        </w:rPr>
        <w:t xml:space="preserve"> </w:t>
      </w:r>
      <w:r w:rsidR="0047163E" w:rsidRPr="0047163E">
        <w:rPr>
          <w:sz w:val="24"/>
          <w:szCs w:val="24"/>
        </w:rPr>
        <w:t>While European Americans typically encourage members to look people in the eye when speaking to them, some others may consider this disrespectful or impolite (e.g., some Asian and Native American groups). Some Moslem groups may consider eye contact inappropriate between men and women. Observe the patient when talking and listening to get clues regarding appropriate eye contact</w:t>
      </w:r>
      <w:r w:rsidR="0047163E">
        <w:rPr>
          <w:sz w:val="24"/>
          <w:szCs w:val="24"/>
        </w:rPr>
        <w:t xml:space="preserve"> </w:t>
      </w:r>
      <w:r w:rsidR="0047163E" w:rsidRPr="0047163E">
        <w:rPr>
          <w:sz w:val="24"/>
          <w:szCs w:val="24"/>
        </w:rPr>
        <w:t xml:space="preserve">(McBride, </w:t>
      </w:r>
      <w:proofErr w:type="spellStart"/>
      <w:r w:rsidR="0047163E" w:rsidRPr="0047163E">
        <w:rPr>
          <w:sz w:val="24"/>
          <w:szCs w:val="24"/>
        </w:rPr>
        <w:t>n.d.</w:t>
      </w:r>
      <w:proofErr w:type="spellEnd"/>
      <w:r w:rsidR="0047163E" w:rsidRPr="0047163E">
        <w:rPr>
          <w:sz w:val="24"/>
          <w:szCs w:val="24"/>
        </w:rPr>
        <w:t>).</w:t>
      </w:r>
      <w:r w:rsidR="0047163E">
        <w:rPr>
          <w:color w:val="444444"/>
          <w:sz w:val="24"/>
          <w:szCs w:val="24"/>
        </w:rPr>
        <w:t xml:space="preserve"> </w:t>
      </w:r>
      <w:r w:rsidR="0047163E" w:rsidRPr="0047163E">
        <w:rPr>
          <w:sz w:val="24"/>
          <w:szCs w:val="24"/>
        </w:rPr>
        <w:t>Some cultures value stoicism (e. g., British, Japanese)</w:t>
      </w:r>
      <w:proofErr w:type="gramStart"/>
      <w:r w:rsidR="0047163E" w:rsidRPr="0047163E">
        <w:rPr>
          <w:sz w:val="24"/>
          <w:szCs w:val="24"/>
        </w:rPr>
        <w:t>,</w:t>
      </w:r>
      <w:proofErr w:type="gramEnd"/>
      <w:r w:rsidR="0047163E" w:rsidRPr="0047163E">
        <w:rPr>
          <w:sz w:val="24"/>
          <w:szCs w:val="24"/>
        </w:rPr>
        <w:t xml:space="preserve"> while others encourage open expressions of feelings, such as sorrow, pain, or joy. Older persons from some backgrounds may laugh or smile to mask other emotions (e.g. Japanese, Filipino, </w:t>
      </w:r>
      <w:proofErr w:type="gramStart"/>
      <w:r w:rsidR="0047163E" w:rsidRPr="0047163E">
        <w:rPr>
          <w:sz w:val="24"/>
          <w:szCs w:val="24"/>
        </w:rPr>
        <w:t>Thai</w:t>
      </w:r>
      <w:proofErr w:type="gramEnd"/>
      <w:r w:rsidR="0047163E" w:rsidRPr="0047163E">
        <w:rPr>
          <w:sz w:val="24"/>
          <w:szCs w:val="24"/>
        </w:rPr>
        <w:t>)</w:t>
      </w:r>
      <w:r w:rsidR="0047163E">
        <w:rPr>
          <w:sz w:val="24"/>
          <w:szCs w:val="24"/>
        </w:rPr>
        <w:t xml:space="preserve"> </w:t>
      </w:r>
      <w:r w:rsidR="0047163E" w:rsidRPr="0047163E">
        <w:rPr>
          <w:sz w:val="24"/>
          <w:szCs w:val="24"/>
        </w:rPr>
        <w:t xml:space="preserve">(McBride, </w:t>
      </w:r>
      <w:proofErr w:type="spellStart"/>
      <w:r w:rsidR="0047163E" w:rsidRPr="0047163E">
        <w:rPr>
          <w:sz w:val="24"/>
          <w:szCs w:val="24"/>
        </w:rPr>
        <w:t>n.d.</w:t>
      </w:r>
      <w:proofErr w:type="spellEnd"/>
      <w:r w:rsidR="0047163E" w:rsidRPr="0047163E">
        <w:rPr>
          <w:sz w:val="24"/>
          <w:szCs w:val="24"/>
        </w:rPr>
        <w:t>).</w:t>
      </w:r>
      <w:r w:rsidR="0047163E">
        <w:rPr>
          <w:sz w:val="24"/>
          <w:szCs w:val="24"/>
        </w:rPr>
        <w:t xml:space="preserve"> </w:t>
      </w:r>
      <w:r w:rsidR="0047163E" w:rsidRPr="0047163E">
        <w:rPr>
          <w:sz w:val="24"/>
          <w:szCs w:val="24"/>
        </w:rPr>
        <w:t xml:space="preserve">Body gestures can be easily misinterpreted based on what is considered culturally appropriate. Individuals from some cultures may consider some types of finger pointing or other typical American hand gestures or body postures disrespectful or obscene (e.g. Filipino, Chinese, Iranian), while others may consider vigorous hand shaking as a sign of aggression (e.g. some American Indian) or a gesture of good will (e.g. European). When in doubt, ask an interpreter or a cultural guide. </w:t>
      </w:r>
      <w:proofErr w:type="gramStart"/>
      <w:r w:rsidR="0047163E" w:rsidRPr="0047163E">
        <w:rPr>
          <w:sz w:val="24"/>
          <w:szCs w:val="24"/>
        </w:rPr>
        <w:t xml:space="preserve">(McBride, </w:t>
      </w:r>
      <w:proofErr w:type="spellStart"/>
      <w:r w:rsidR="0047163E" w:rsidRPr="0047163E">
        <w:rPr>
          <w:sz w:val="24"/>
          <w:szCs w:val="24"/>
        </w:rPr>
        <w:t>n.d.</w:t>
      </w:r>
      <w:proofErr w:type="spellEnd"/>
      <w:r w:rsidR="0047163E" w:rsidRPr="0047163E">
        <w:rPr>
          <w:sz w:val="24"/>
          <w:szCs w:val="24"/>
        </w:rPr>
        <w:t>).</w:t>
      </w:r>
      <w:proofErr w:type="gramEnd"/>
    </w:p>
    <w:p w:rsidR="00B30428" w:rsidRDefault="00B30428" w:rsidP="00713E88">
      <w:pPr>
        <w:pStyle w:val="APAHeadingCenter"/>
      </w:pPr>
    </w:p>
    <w:p w:rsidR="00713E88" w:rsidRDefault="00713E88" w:rsidP="00FD1691">
      <w:pPr>
        <w:pStyle w:val="APAHeadingCenter"/>
      </w:pPr>
      <w:commentRangeStart w:id="11"/>
      <w:r>
        <w:t>References</w:t>
      </w:r>
      <w:commentRangeEnd w:id="11"/>
      <w:r w:rsidR="0091394F">
        <w:rPr>
          <w:rStyle w:val="CommentReference"/>
        </w:rPr>
        <w:commentReference w:id="11"/>
      </w:r>
    </w:p>
    <w:p w:rsidR="00FD1691" w:rsidRDefault="00FD1691" w:rsidP="00FD1691">
      <w:pPr>
        <w:pStyle w:val="APA"/>
        <w:ind w:firstLine="0"/>
      </w:pPr>
      <w:proofErr w:type="gramStart"/>
      <w:r>
        <w:t>Cultural Competence for health care providers.</w:t>
      </w:r>
      <w:proofErr w:type="gramEnd"/>
      <w:r>
        <w:t xml:space="preserve"> </w:t>
      </w:r>
      <w:proofErr w:type="gramStart"/>
      <w:r>
        <w:t xml:space="preserve">(2009). Jefferson Center for </w:t>
      </w:r>
      <w:proofErr w:type="spellStart"/>
      <w:r>
        <w:t>Interprofessional</w:t>
      </w:r>
      <w:proofErr w:type="spellEnd"/>
      <w:r>
        <w:t xml:space="preserve"> </w:t>
      </w:r>
      <w:commentRangeStart w:id="12"/>
      <w:r>
        <w:t>Education [video].</w:t>
      </w:r>
      <w:proofErr w:type="gramEnd"/>
      <w:r>
        <w:t xml:space="preserve"> </w:t>
      </w:r>
      <w:proofErr w:type="gramStart"/>
      <w:r>
        <w:t>A digital media development production.</w:t>
      </w:r>
      <w:proofErr w:type="gramEnd"/>
      <w:r>
        <w:t xml:space="preserve"> </w:t>
      </w:r>
      <w:proofErr w:type="spellStart"/>
      <w:r>
        <w:t>Retreived</w:t>
      </w:r>
      <w:proofErr w:type="spellEnd"/>
      <w:r>
        <w:t xml:space="preserve"> from http://www.youtube.com/watch?v-dnltajwy61</w:t>
      </w:r>
    </w:p>
    <w:p w:rsidR="00FD1691" w:rsidRDefault="00FD1691" w:rsidP="00FD1691">
      <w:pPr>
        <w:pStyle w:val="APA"/>
        <w:ind w:firstLine="0"/>
      </w:pPr>
    </w:p>
    <w:p w:rsidR="00FD1691" w:rsidRPr="00FD1691" w:rsidRDefault="00FD1691" w:rsidP="00FD1691">
      <w:pPr>
        <w:pStyle w:val="APA"/>
        <w:ind w:firstLine="0"/>
      </w:pPr>
      <w:r>
        <w:t xml:space="preserve">Kaiser Family Foundation. </w:t>
      </w:r>
      <w:proofErr w:type="gramStart"/>
      <w:r>
        <w:t xml:space="preserve">(2010). </w:t>
      </w:r>
      <w:r w:rsidRPr="0091394F">
        <w:rPr>
          <w:i/>
          <w:color w:val="FF0000"/>
        </w:rPr>
        <w:t>Distribution of U.S. population by race/ethnicity</w:t>
      </w:r>
      <w:r>
        <w:t>.</w:t>
      </w:r>
      <w:proofErr w:type="gramEnd"/>
      <w:r>
        <w:t xml:space="preserve"> </w:t>
      </w:r>
      <w:proofErr w:type="gramStart"/>
      <w:r>
        <w:t>2010 and 2050.</w:t>
      </w:r>
      <w:proofErr w:type="gramEnd"/>
      <w:r>
        <w:t xml:space="preserve"> Retrieved from http://facts.kft.org/</w:t>
      </w:r>
      <w:commentRangeEnd w:id="12"/>
      <w:r w:rsidR="0091394F">
        <w:rPr>
          <w:rStyle w:val="CommentReference"/>
        </w:rPr>
        <w:commentReference w:id="12"/>
      </w:r>
      <w:r>
        <w:t>chart.aspx</w:t>
      </w:r>
      <w:proofErr w:type="gramStart"/>
      <w:r>
        <w:t>?ch</w:t>
      </w:r>
      <w:proofErr w:type="gramEnd"/>
      <w:r>
        <w:t>=364</w:t>
      </w:r>
    </w:p>
    <w:p w:rsidR="00FD1691" w:rsidRDefault="00FD1691" w:rsidP="00713E88">
      <w:pPr>
        <w:pStyle w:val="APAReference"/>
      </w:pPr>
      <w:bookmarkStart w:id="13" w:name="R410117520023148I0"/>
    </w:p>
    <w:p w:rsidR="007439C3" w:rsidRDefault="00713E88" w:rsidP="00713E88">
      <w:pPr>
        <w:pStyle w:val="APAReference"/>
      </w:pPr>
      <w:proofErr w:type="gramStart"/>
      <w:r>
        <w:t>McBride, M. (</w:t>
      </w:r>
      <w:proofErr w:type="spellStart"/>
      <w:r>
        <w:t>n.d</w:t>
      </w:r>
      <w:r w:rsidRPr="0091394F">
        <w:rPr>
          <w:i/>
          <w:color w:val="FF0000"/>
        </w:rPr>
        <w:t>.</w:t>
      </w:r>
      <w:proofErr w:type="spellEnd"/>
      <w:r w:rsidRPr="0091394F">
        <w:rPr>
          <w:i/>
          <w:color w:val="FF0000"/>
        </w:rPr>
        <w:t>).</w:t>
      </w:r>
      <w:proofErr w:type="gramEnd"/>
      <w:r w:rsidRPr="0091394F">
        <w:rPr>
          <w:i/>
          <w:color w:val="FF0000"/>
        </w:rPr>
        <w:t xml:space="preserve"> </w:t>
      </w:r>
      <w:proofErr w:type="spellStart"/>
      <w:proofErr w:type="gramStart"/>
      <w:r w:rsidRPr="0091394F">
        <w:rPr>
          <w:i/>
          <w:color w:val="FF0000"/>
        </w:rPr>
        <w:t>Ethnogeriatrics</w:t>
      </w:r>
      <w:proofErr w:type="spellEnd"/>
      <w:r w:rsidRPr="0091394F">
        <w:rPr>
          <w:i/>
          <w:color w:val="FF0000"/>
        </w:rPr>
        <w:t xml:space="preserve"> and cultural competence for nursing practice</w:t>
      </w:r>
      <w:r>
        <w:t>.</w:t>
      </w:r>
      <w:proofErr w:type="gramEnd"/>
      <w:r>
        <w:t xml:space="preserve"> </w:t>
      </w:r>
      <w:proofErr w:type="gramStart"/>
      <w:r>
        <w:t>Hartford Institute for Geriatric Nursing.</w:t>
      </w:r>
      <w:proofErr w:type="gramEnd"/>
      <w:r>
        <w:t xml:space="preserve"> Retrieved from http://consultgerirn.org/topics/ethnogeriatrics_and_cultural_competence_for_nursing_practice/want_to_know_more/</w:t>
      </w:r>
      <w:bookmarkEnd w:id="13"/>
    </w:p>
    <w:p w:rsidR="0091394F" w:rsidRDefault="0091394F" w:rsidP="00713E88">
      <w:pPr>
        <w:pStyle w:val="APAReference"/>
      </w:pPr>
      <w:r>
        <w:t xml:space="preserve">  </w:t>
      </w:r>
      <w:r>
        <w:rPr>
          <w:rStyle w:val="CommentReference"/>
        </w:rPr>
        <w:commentReference w:id="14"/>
      </w:r>
    </w:p>
    <w:p w:rsidR="005C5B67" w:rsidRPr="0047163E" w:rsidRDefault="0047163E" w:rsidP="0047163E">
      <w:pPr>
        <w:spacing w:after="120" w:line="336" w:lineRule="atLeast"/>
        <w:rPr>
          <w:sz w:val="24"/>
          <w:szCs w:val="24"/>
        </w:rPr>
      </w:pPr>
      <w:r>
        <w:t>(</w:t>
      </w:r>
      <w:r w:rsidRPr="0047163E">
        <w:rPr>
          <w:sz w:val="22"/>
          <w:szCs w:val="22"/>
        </w:rPr>
        <w:t>1)</w:t>
      </w:r>
      <w:proofErr w:type="spellStart"/>
      <w:r w:rsidR="00521E9D" w:rsidRPr="0047163E">
        <w:rPr>
          <w:sz w:val="22"/>
          <w:szCs w:val="22"/>
        </w:rPr>
        <w:t>Ethnogeritatics</w:t>
      </w:r>
      <w:proofErr w:type="spellEnd"/>
      <w:r w:rsidR="00521E9D" w:rsidRPr="0047163E">
        <w:rPr>
          <w:sz w:val="22"/>
          <w:szCs w:val="22"/>
        </w:rPr>
        <w:t xml:space="preserve"> describes the health care of older persons from a diverse ethnic population (McBride, </w:t>
      </w:r>
      <w:proofErr w:type="spellStart"/>
      <w:r w:rsidR="00521E9D" w:rsidRPr="0047163E">
        <w:rPr>
          <w:sz w:val="22"/>
          <w:szCs w:val="22"/>
        </w:rPr>
        <w:t>n.p</w:t>
      </w:r>
      <w:proofErr w:type="spellEnd"/>
      <w:r w:rsidR="00521E9D" w:rsidRPr="0047163E">
        <w:rPr>
          <w:sz w:val="22"/>
          <w:szCs w:val="22"/>
        </w:rPr>
        <w:t xml:space="preserve">.). </w:t>
      </w:r>
      <w:proofErr w:type="gramStart"/>
      <w:r w:rsidRPr="0047163E">
        <w:rPr>
          <w:sz w:val="24"/>
          <w:szCs w:val="24"/>
        </w:rPr>
        <w:t>The degree in which an ethnic older person has integrated the cultural beliefs, values, and practices of the mainstream society into her/his cultural beliefs and values.</w:t>
      </w:r>
      <w:proofErr w:type="gramEnd"/>
      <w:r w:rsidRPr="0047163E">
        <w:rPr>
          <w:sz w:val="24"/>
          <w:szCs w:val="24"/>
        </w:rPr>
        <w:t xml:space="preserve"> The blending of these cultural domains enables the patient to acquire a set of skills and level of comfort to carry on everyday living in mainstream </w:t>
      </w:r>
      <w:proofErr w:type="spellStart"/>
      <w:r w:rsidRPr="0047163E">
        <w:rPr>
          <w:sz w:val="24"/>
          <w:szCs w:val="24"/>
        </w:rPr>
        <w:t>society.Placing</w:t>
      </w:r>
      <w:proofErr w:type="spellEnd"/>
      <w:r w:rsidRPr="0047163E">
        <w:rPr>
          <w:sz w:val="24"/>
          <w:szCs w:val="24"/>
        </w:rPr>
        <w:t xml:space="preserve"> older patients on the continuum of acculturation can help providers avoid mistaken assumptions about expected differences or similarities from mainstream older </w:t>
      </w:r>
      <w:proofErr w:type="spellStart"/>
      <w:r w:rsidRPr="0047163E">
        <w:rPr>
          <w:sz w:val="24"/>
          <w:szCs w:val="24"/>
        </w:rPr>
        <w:t>persons.Informal</w:t>
      </w:r>
      <w:proofErr w:type="spellEnd"/>
      <w:r w:rsidRPr="0047163E">
        <w:rPr>
          <w:sz w:val="24"/>
          <w:szCs w:val="24"/>
        </w:rPr>
        <w:t xml:space="preserve"> indicators of acculturatio</w:t>
      </w:r>
      <w:r>
        <w:rPr>
          <w:sz w:val="24"/>
          <w:szCs w:val="24"/>
        </w:rPr>
        <w:t xml:space="preserve">n that can be used quickly are: </w:t>
      </w:r>
      <w:r w:rsidRPr="0047163E">
        <w:rPr>
          <w:sz w:val="24"/>
          <w:szCs w:val="24"/>
        </w:rPr>
        <w:t>Length of time older patients or the</w:t>
      </w:r>
      <w:r>
        <w:rPr>
          <w:sz w:val="24"/>
          <w:szCs w:val="24"/>
        </w:rPr>
        <w:t>ir ancestor has been in the U.S and l</w:t>
      </w:r>
      <w:r w:rsidRPr="0047163E">
        <w:rPr>
          <w:sz w:val="24"/>
          <w:szCs w:val="24"/>
        </w:rPr>
        <w:t>anguage used at home, fluency in spoken and written English</w:t>
      </w:r>
      <w:r>
        <w:rPr>
          <w:sz w:val="24"/>
          <w:szCs w:val="24"/>
        </w:rPr>
        <w:t xml:space="preserve"> (2)</w:t>
      </w:r>
      <w:r w:rsidR="00521E9D">
        <w:t xml:space="preserve"> </w:t>
      </w:r>
      <w:r w:rsidR="00521E9D" w:rsidRPr="0047163E">
        <w:rPr>
          <w:sz w:val="24"/>
          <w:szCs w:val="24"/>
        </w:rPr>
        <w:t>The U.S. Bureau of the Census uses the term “</w:t>
      </w:r>
      <w:proofErr w:type="spellStart"/>
      <w:r w:rsidR="00521E9D" w:rsidRPr="0047163E">
        <w:rPr>
          <w:sz w:val="24"/>
          <w:szCs w:val="24"/>
        </w:rPr>
        <w:t>Hispanic”as</w:t>
      </w:r>
      <w:proofErr w:type="spellEnd"/>
      <w:r w:rsidR="00521E9D" w:rsidRPr="0047163E">
        <w:rPr>
          <w:sz w:val="24"/>
          <w:szCs w:val="24"/>
        </w:rPr>
        <w:t xml:space="preserve"> an ethnicity category referring to persons who trace their origin or descent to Mexico, Puerto Rico, Cuba, Cen</w:t>
      </w:r>
      <w:r w:rsidR="000B6B3E" w:rsidRPr="0047163E">
        <w:rPr>
          <w:sz w:val="24"/>
          <w:szCs w:val="24"/>
        </w:rPr>
        <w:t>tral or South America, or Spain (</w:t>
      </w:r>
      <w:proofErr w:type="spellStart"/>
      <w:r w:rsidR="000B6B3E" w:rsidRPr="0047163E">
        <w:rPr>
          <w:sz w:val="24"/>
          <w:szCs w:val="24"/>
        </w:rPr>
        <w:t>Talmantes</w:t>
      </w:r>
      <w:proofErr w:type="spellEnd"/>
      <w:r w:rsidR="000B6B3E" w:rsidRPr="0047163E">
        <w:rPr>
          <w:sz w:val="24"/>
          <w:szCs w:val="24"/>
        </w:rPr>
        <w:t xml:space="preserve">, </w:t>
      </w:r>
      <w:proofErr w:type="spellStart"/>
      <w:r w:rsidR="000B6B3E" w:rsidRPr="0047163E">
        <w:rPr>
          <w:sz w:val="24"/>
          <w:szCs w:val="24"/>
        </w:rPr>
        <w:t>M.,Lindeman</w:t>
      </w:r>
      <w:proofErr w:type="spellEnd"/>
      <w:r w:rsidR="000B6B3E" w:rsidRPr="0047163E">
        <w:rPr>
          <w:sz w:val="24"/>
          <w:szCs w:val="24"/>
        </w:rPr>
        <w:t>, R., &amp; Mouton, C., 2001). (3) Acculturation can be defined as a continuum. At one end the retention of values and beliefs from one’s own culture of origin is maintained. Moving towards the center of the continuum, one can become bilingual and bicultural easily shifting from traditional practices to adopting practices of the mainstream society. At the end of the continuum, individuals may fully adopt the values and beliefs of the mainstream society thus no longer identifying with their original culture</w:t>
      </w:r>
      <w:r w:rsidR="005C5B67" w:rsidRPr="0047163E">
        <w:rPr>
          <w:sz w:val="24"/>
          <w:szCs w:val="24"/>
        </w:rPr>
        <w:t xml:space="preserve"> (</w:t>
      </w:r>
      <w:proofErr w:type="spellStart"/>
      <w:r w:rsidR="005C5B67" w:rsidRPr="0047163E">
        <w:rPr>
          <w:sz w:val="24"/>
          <w:szCs w:val="24"/>
        </w:rPr>
        <w:t>Talmantes</w:t>
      </w:r>
      <w:proofErr w:type="spellEnd"/>
      <w:r w:rsidR="005C5B67" w:rsidRPr="0047163E">
        <w:rPr>
          <w:sz w:val="24"/>
          <w:szCs w:val="24"/>
        </w:rPr>
        <w:t xml:space="preserve">, </w:t>
      </w:r>
      <w:proofErr w:type="spellStart"/>
      <w:r w:rsidR="005C5B67" w:rsidRPr="0047163E">
        <w:rPr>
          <w:sz w:val="24"/>
          <w:szCs w:val="24"/>
        </w:rPr>
        <w:t>M.</w:t>
      </w:r>
      <w:proofErr w:type="gramStart"/>
      <w:r w:rsidR="005C5B67" w:rsidRPr="0047163E">
        <w:rPr>
          <w:sz w:val="24"/>
          <w:szCs w:val="24"/>
        </w:rPr>
        <w:t>,Lindeman</w:t>
      </w:r>
      <w:proofErr w:type="spellEnd"/>
      <w:proofErr w:type="gramEnd"/>
      <w:r w:rsidR="005C5B67" w:rsidRPr="0047163E">
        <w:rPr>
          <w:sz w:val="24"/>
          <w:szCs w:val="24"/>
        </w:rPr>
        <w:t>, R., &amp; Mouton, C., 2001). Familiarity with the acculturation continuum and dimensions within the continuum may help to facilitate and enhance the communication with elderly Hispanic/Latino patients (</w:t>
      </w:r>
      <w:proofErr w:type="spellStart"/>
      <w:r w:rsidR="005C5B67" w:rsidRPr="0047163E">
        <w:rPr>
          <w:sz w:val="24"/>
          <w:szCs w:val="24"/>
        </w:rPr>
        <w:t>Talmantes</w:t>
      </w:r>
      <w:proofErr w:type="spellEnd"/>
      <w:r w:rsidR="005C5B67" w:rsidRPr="0047163E">
        <w:rPr>
          <w:sz w:val="24"/>
          <w:szCs w:val="24"/>
        </w:rPr>
        <w:t xml:space="preserve">, </w:t>
      </w:r>
      <w:proofErr w:type="spellStart"/>
      <w:r w:rsidR="005C5B67" w:rsidRPr="0047163E">
        <w:rPr>
          <w:sz w:val="24"/>
          <w:szCs w:val="24"/>
        </w:rPr>
        <w:t>M.</w:t>
      </w:r>
      <w:proofErr w:type="gramStart"/>
      <w:r w:rsidR="005C5B67" w:rsidRPr="0047163E">
        <w:rPr>
          <w:sz w:val="24"/>
          <w:szCs w:val="24"/>
        </w:rPr>
        <w:t>,Lindeman</w:t>
      </w:r>
      <w:proofErr w:type="spellEnd"/>
      <w:proofErr w:type="gramEnd"/>
      <w:r w:rsidR="005C5B67" w:rsidRPr="0047163E">
        <w:rPr>
          <w:sz w:val="24"/>
          <w:szCs w:val="24"/>
        </w:rPr>
        <w:t>, R., &amp; Mouton, C., 2001). (4) Informal indicator that can be quickly used for assessment include; language, country of origin, length of residence, contact with country of origin, parental expectations, food preferences (</w:t>
      </w:r>
      <w:proofErr w:type="spellStart"/>
      <w:r w:rsidR="005C5B67" w:rsidRPr="0047163E">
        <w:rPr>
          <w:sz w:val="24"/>
          <w:szCs w:val="24"/>
        </w:rPr>
        <w:t>Talmantes</w:t>
      </w:r>
      <w:proofErr w:type="spellEnd"/>
      <w:r w:rsidR="005C5B67" w:rsidRPr="0047163E">
        <w:rPr>
          <w:sz w:val="24"/>
          <w:szCs w:val="24"/>
        </w:rPr>
        <w:t xml:space="preserve">, </w:t>
      </w:r>
      <w:proofErr w:type="spellStart"/>
      <w:r w:rsidR="005C5B67" w:rsidRPr="0047163E">
        <w:rPr>
          <w:sz w:val="24"/>
          <w:szCs w:val="24"/>
        </w:rPr>
        <w:t>M.</w:t>
      </w:r>
      <w:proofErr w:type="gramStart"/>
      <w:r w:rsidR="005C5B67" w:rsidRPr="0047163E">
        <w:rPr>
          <w:sz w:val="24"/>
          <w:szCs w:val="24"/>
        </w:rPr>
        <w:t>,Lindeman</w:t>
      </w:r>
      <w:proofErr w:type="spellEnd"/>
      <w:proofErr w:type="gramEnd"/>
      <w:r w:rsidR="005C5B67" w:rsidRPr="0047163E">
        <w:rPr>
          <w:sz w:val="24"/>
          <w:szCs w:val="24"/>
        </w:rPr>
        <w:t>, R., &amp; Mouton, C., 2001). (5) Yes, a translator should be contacted to make sure that complete and precise communication happens. (6</w:t>
      </w:r>
      <w:commentRangeStart w:id="15"/>
      <w:r w:rsidR="005C5B67" w:rsidRPr="0047163E">
        <w:rPr>
          <w:sz w:val="24"/>
          <w:szCs w:val="24"/>
        </w:rPr>
        <w:t xml:space="preserve">) One should include the following suggestions when successfully communicating with an elderly Hispanic/Latino client; </w:t>
      </w:r>
      <w:r w:rsidR="00665646">
        <w:rPr>
          <w:sz w:val="24"/>
          <w:szCs w:val="24"/>
        </w:rPr>
        <w:t xml:space="preserve">a nurse should address a client be their last name unless asked otherwise by the client, the nurse should also know that sometimes people nod “yes” but do not comprehend, knowing this, the nurse should have a translator to ensure communication is understood. </w:t>
      </w:r>
      <w:commentRangeEnd w:id="15"/>
      <w:r w:rsidR="0091394F">
        <w:rPr>
          <w:rStyle w:val="CommentReference"/>
        </w:rPr>
        <w:commentReference w:id="15"/>
      </w:r>
      <w:r w:rsidR="008978A1">
        <w:rPr>
          <w:sz w:val="24"/>
          <w:szCs w:val="24"/>
        </w:rPr>
        <w:t xml:space="preserve">(8) </w:t>
      </w:r>
      <w:proofErr w:type="spellStart"/>
      <w:r w:rsidR="008978A1" w:rsidRPr="008978A1">
        <w:rPr>
          <w:sz w:val="24"/>
          <w:szCs w:val="24"/>
        </w:rPr>
        <w:t>Curanderos</w:t>
      </w:r>
      <w:proofErr w:type="spellEnd"/>
      <w:r w:rsidR="008978A1" w:rsidRPr="008978A1">
        <w:rPr>
          <w:sz w:val="24"/>
          <w:szCs w:val="24"/>
        </w:rPr>
        <w:t>’ are general practitioners of Mexican folk healing (</w:t>
      </w:r>
      <w:proofErr w:type="spellStart"/>
      <w:r w:rsidR="008978A1" w:rsidRPr="008978A1">
        <w:rPr>
          <w:sz w:val="24"/>
          <w:szCs w:val="24"/>
        </w:rPr>
        <w:t>Talmantes</w:t>
      </w:r>
      <w:proofErr w:type="spellEnd"/>
      <w:r w:rsidR="008978A1" w:rsidRPr="008978A1">
        <w:rPr>
          <w:sz w:val="24"/>
          <w:szCs w:val="24"/>
        </w:rPr>
        <w:t xml:space="preserve">, M., </w:t>
      </w:r>
      <w:r w:rsidR="008978A1" w:rsidRPr="008978A1">
        <w:rPr>
          <w:sz w:val="24"/>
          <w:szCs w:val="24"/>
        </w:rPr>
        <w:lastRenderedPageBreak/>
        <w:t>Lindeman</w:t>
      </w:r>
      <w:proofErr w:type="gramStart"/>
      <w:r w:rsidR="008978A1" w:rsidRPr="008978A1">
        <w:rPr>
          <w:sz w:val="24"/>
          <w:szCs w:val="24"/>
        </w:rPr>
        <w:t>,.</w:t>
      </w:r>
      <w:proofErr w:type="gramEnd"/>
      <w:r w:rsidR="008978A1" w:rsidRPr="008978A1">
        <w:rPr>
          <w:sz w:val="24"/>
          <w:szCs w:val="24"/>
        </w:rPr>
        <w:t xml:space="preserve"> </w:t>
      </w:r>
      <w:proofErr w:type="spellStart"/>
      <w:r w:rsidR="008978A1" w:rsidRPr="008978A1">
        <w:rPr>
          <w:sz w:val="24"/>
          <w:szCs w:val="24"/>
        </w:rPr>
        <w:t>Curanderos</w:t>
      </w:r>
      <w:proofErr w:type="spellEnd"/>
      <w:r w:rsidR="008978A1" w:rsidRPr="008978A1">
        <w:rPr>
          <w:sz w:val="24"/>
          <w:szCs w:val="24"/>
        </w:rPr>
        <w:t xml:space="preserve"> are general practitioners of Mexican folk healing (</w:t>
      </w:r>
      <w:proofErr w:type="spellStart"/>
      <w:r w:rsidR="008978A1" w:rsidRPr="008978A1">
        <w:rPr>
          <w:sz w:val="24"/>
          <w:szCs w:val="24"/>
        </w:rPr>
        <w:t>Talmantes</w:t>
      </w:r>
      <w:proofErr w:type="spellEnd"/>
      <w:r w:rsidR="008978A1" w:rsidRPr="008978A1">
        <w:rPr>
          <w:sz w:val="24"/>
          <w:szCs w:val="24"/>
        </w:rPr>
        <w:t xml:space="preserve">, </w:t>
      </w:r>
      <w:proofErr w:type="spellStart"/>
      <w:r w:rsidR="008978A1" w:rsidRPr="008978A1">
        <w:rPr>
          <w:sz w:val="24"/>
          <w:szCs w:val="24"/>
        </w:rPr>
        <w:t>M.</w:t>
      </w:r>
      <w:proofErr w:type="gramStart"/>
      <w:r w:rsidR="008978A1" w:rsidRPr="008978A1">
        <w:rPr>
          <w:sz w:val="24"/>
          <w:szCs w:val="24"/>
        </w:rPr>
        <w:t>,Lindeman</w:t>
      </w:r>
      <w:proofErr w:type="spellEnd"/>
      <w:proofErr w:type="gramEnd"/>
      <w:r w:rsidR="008978A1" w:rsidRPr="008978A1">
        <w:rPr>
          <w:sz w:val="24"/>
          <w:szCs w:val="24"/>
        </w:rPr>
        <w:t xml:space="preserve">, R. &amp; Mouton, C., 2001). The specific herbs mentioned in this study for use of treatment of </w:t>
      </w:r>
      <w:r w:rsidR="00C450AC">
        <w:rPr>
          <w:sz w:val="24"/>
          <w:szCs w:val="24"/>
        </w:rPr>
        <w:t>depression</w:t>
      </w:r>
      <w:r w:rsidR="008978A1" w:rsidRPr="008978A1">
        <w:rPr>
          <w:sz w:val="24"/>
          <w:szCs w:val="24"/>
        </w:rPr>
        <w:t xml:space="preserve"> included: </w:t>
      </w:r>
      <w:proofErr w:type="spellStart"/>
      <w:r w:rsidR="008978A1" w:rsidRPr="008978A1">
        <w:rPr>
          <w:sz w:val="24"/>
          <w:szCs w:val="24"/>
        </w:rPr>
        <w:t>nopal</w:t>
      </w:r>
      <w:proofErr w:type="spellEnd"/>
      <w:r w:rsidR="008978A1" w:rsidRPr="008978A1">
        <w:rPr>
          <w:sz w:val="24"/>
          <w:szCs w:val="24"/>
        </w:rPr>
        <w:t xml:space="preserve"> (cactus), aloe </w:t>
      </w:r>
      <w:proofErr w:type="spellStart"/>
      <w:r w:rsidR="008978A1" w:rsidRPr="008978A1">
        <w:rPr>
          <w:sz w:val="24"/>
          <w:szCs w:val="24"/>
        </w:rPr>
        <w:t>vera</w:t>
      </w:r>
      <w:proofErr w:type="spellEnd"/>
      <w:r w:rsidR="008978A1" w:rsidRPr="008978A1">
        <w:rPr>
          <w:sz w:val="24"/>
          <w:szCs w:val="24"/>
        </w:rPr>
        <w:t xml:space="preserve">, </w:t>
      </w:r>
      <w:proofErr w:type="spellStart"/>
      <w:r w:rsidR="008978A1" w:rsidRPr="008978A1">
        <w:rPr>
          <w:sz w:val="24"/>
          <w:szCs w:val="24"/>
        </w:rPr>
        <w:t>nispero</w:t>
      </w:r>
      <w:proofErr w:type="spellEnd"/>
      <w:r w:rsidR="008978A1" w:rsidRPr="008978A1">
        <w:rPr>
          <w:sz w:val="24"/>
          <w:szCs w:val="24"/>
        </w:rPr>
        <w:t xml:space="preserve"> (loquat leaves), garlic, and </w:t>
      </w:r>
      <w:proofErr w:type="spellStart"/>
      <w:r w:rsidR="008978A1" w:rsidRPr="008978A1">
        <w:rPr>
          <w:sz w:val="24"/>
          <w:szCs w:val="24"/>
        </w:rPr>
        <w:t>diabetina</w:t>
      </w:r>
      <w:proofErr w:type="spellEnd"/>
      <w:r w:rsidR="00C450AC">
        <w:rPr>
          <w:sz w:val="24"/>
          <w:szCs w:val="24"/>
        </w:rPr>
        <w:t xml:space="preserve"> </w:t>
      </w:r>
      <w:r w:rsidR="00C450AC" w:rsidRPr="008978A1">
        <w:rPr>
          <w:sz w:val="24"/>
          <w:szCs w:val="24"/>
        </w:rPr>
        <w:t>(</w:t>
      </w:r>
      <w:proofErr w:type="spellStart"/>
      <w:r w:rsidR="00C450AC" w:rsidRPr="008978A1">
        <w:rPr>
          <w:sz w:val="24"/>
          <w:szCs w:val="24"/>
        </w:rPr>
        <w:t>Talmantes</w:t>
      </w:r>
      <w:proofErr w:type="spellEnd"/>
      <w:r w:rsidR="00C450AC" w:rsidRPr="008978A1">
        <w:rPr>
          <w:sz w:val="24"/>
          <w:szCs w:val="24"/>
        </w:rPr>
        <w:t xml:space="preserve">, </w:t>
      </w:r>
      <w:proofErr w:type="spellStart"/>
      <w:r w:rsidR="00C450AC" w:rsidRPr="008978A1">
        <w:rPr>
          <w:sz w:val="24"/>
          <w:szCs w:val="24"/>
        </w:rPr>
        <w:t>M.</w:t>
      </w:r>
      <w:proofErr w:type="gramStart"/>
      <w:r w:rsidR="00C450AC" w:rsidRPr="008978A1">
        <w:rPr>
          <w:sz w:val="24"/>
          <w:szCs w:val="24"/>
        </w:rPr>
        <w:t>,Lindeman</w:t>
      </w:r>
      <w:proofErr w:type="spellEnd"/>
      <w:proofErr w:type="gramEnd"/>
      <w:r w:rsidR="00C450AC" w:rsidRPr="008978A1">
        <w:rPr>
          <w:sz w:val="24"/>
          <w:szCs w:val="24"/>
        </w:rPr>
        <w:t>, R. &amp; Mouton, C., 2001).</w:t>
      </w:r>
    </w:p>
    <w:p w:rsidR="005C5B67" w:rsidRDefault="005C5B67" w:rsidP="005C5B67">
      <w:pPr>
        <w:pStyle w:val="APAReference"/>
        <w:ind w:firstLine="0"/>
      </w:pPr>
    </w:p>
    <w:p w:rsidR="005C5B67" w:rsidRDefault="005C5B67" w:rsidP="005C5B67">
      <w:pPr>
        <w:pStyle w:val="APAReference"/>
        <w:ind w:firstLine="0"/>
      </w:pPr>
    </w:p>
    <w:p w:rsidR="005C5B67" w:rsidRDefault="005C5B67" w:rsidP="005C5B67">
      <w:pPr>
        <w:pStyle w:val="APAReference"/>
        <w:ind w:firstLine="0"/>
      </w:pPr>
    </w:p>
    <w:p w:rsidR="005C5B67" w:rsidRDefault="005C5B67" w:rsidP="005C5B67">
      <w:pPr>
        <w:pStyle w:val="APAReference"/>
        <w:ind w:firstLine="0"/>
      </w:pPr>
    </w:p>
    <w:p w:rsidR="005C5B67" w:rsidRDefault="005C5B67" w:rsidP="005C5B67">
      <w:pPr>
        <w:pStyle w:val="APAReference"/>
        <w:ind w:firstLine="0"/>
      </w:pPr>
    </w:p>
    <w:p w:rsidR="005C5B67" w:rsidRDefault="005C5B67" w:rsidP="005C5B67">
      <w:pPr>
        <w:pStyle w:val="APAReference"/>
        <w:ind w:firstLine="0"/>
      </w:pPr>
      <w:r>
        <w:t xml:space="preserve">(7) </w:t>
      </w:r>
    </w:p>
    <w:p w:rsidR="005C5B67" w:rsidRDefault="005C5B67" w:rsidP="005C5B67">
      <w:pPr>
        <w:pStyle w:val="NormalWeb"/>
        <w:jc w:val="center"/>
      </w:pPr>
      <w:r>
        <w:rPr>
          <w:noProof/>
        </w:rPr>
        <w:drawing>
          <wp:inline distT="0" distB="0" distL="0" distR="0">
            <wp:extent cx="4000500" cy="4371975"/>
            <wp:effectExtent l="19050" t="0" r="0" b="0"/>
            <wp:docPr id="1" name="Picture 1" descr="http://www.stanford.edu/group/ethnoger/images/hislattabl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nford.edu/group/ethnoger/images/hislattable8.gif"/>
                    <pic:cNvPicPr>
                      <a:picLocks noChangeAspect="1" noChangeArrowheads="1"/>
                    </pic:cNvPicPr>
                  </pic:nvPicPr>
                  <pic:blipFill>
                    <a:blip r:embed="rId16" cstate="print"/>
                    <a:srcRect/>
                    <a:stretch>
                      <a:fillRect/>
                    </a:stretch>
                  </pic:blipFill>
                  <pic:spPr bwMode="auto">
                    <a:xfrm>
                      <a:off x="0" y="0"/>
                      <a:ext cx="4000500" cy="4371975"/>
                    </a:xfrm>
                    <a:prstGeom prst="rect">
                      <a:avLst/>
                    </a:prstGeom>
                    <a:noFill/>
                    <a:ln w="9525">
                      <a:noFill/>
                      <a:miter lim="800000"/>
                      <a:headEnd/>
                      <a:tailEnd/>
                    </a:ln>
                  </pic:spPr>
                </pic:pic>
              </a:graphicData>
            </a:graphic>
          </wp:inline>
        </w:drawing>
      </w:r>
    </w:p>
    <w:p w:rsidR="00665646" w:rsidRDefault="005C5B67" w:rsidP="005C5B67">
      <w:pPr>
        <w:pStyle w:val="APAReference"/>
        <w:ind w:firstLine="0"/>
      </w:pPr>
      <w:r>
        <w:t xml:space="preserve">        </w:t>
      </w:r>
      <w:r w:rsidR="00665646">
        <w:t xml:space="preserve">       </w:t>
      </w:r>
      <w:r>
        <w:t xml:space="preserve">                                   (</w:t>
      </w:r>
      <w:proofErr w:type="spellStart"/>
      <w:r>
        <w:t>Talmantes</w:t>
      </w:r>
      <w:proofErr w:type="spellEnd"/>
      <w:r>
        <w:t xml:space="preserve">, </w:t>
      </w:r>
      <w:proofErr w:type="spellStart"/>
      <w:r>
        <w:t>M.</w:t>
      </w:r>
      <w:proofErr w:type="gramStart"/>
      <w:r>
        <w:t>,Li</w:t>
      </w:r>
      <w:r w:rsidR="00665646">
        <w:t>ndeman</w:t>
      </w:r>
      <w:proofErr w:type="spellEnd"/>
      <w:proofErr w:type="gramEnd"/>
      <w:r w:rsidR="00665646">
        <w:t>, R., &amp; Mouton, C., 2001)</w:t>
      </w:r>
    </w:p>
    <w:p w:rsidR="00665646" w:rsidRDefault="00665646" w:rsidP="00665646">
      <w:pPr>
        <w:pStyle w:val="APAReference"/>
        <w:ind w:left="0" w:firstLine="0"/>
      </w:pPr>
    </w:p>
    <w:p w:rsidR="00665646" w:rsidRDefault="00665646" w:rsidP="00665646">
      <w:pPr>
        <w:pStyle w:val="APAReference"/>
        <w:ind w:left="0" w:firstLine="0"/>
      </w:pPr>
    </w:p>
    <w:p w:rsidR="00FD1691" w:rsidRDefault="008978A1" w:rsidP="008978A1">
      <w:pPr>
        <w:pStyle w:val="APAReference"/>
        <w:ind w:firstLine="0"/>
        <w:jc w:val="center"/>
      </w:pPr>
      <w:r>
        <w:t>References</w:t>
      </w:r>
    </w:p>
    <w:p w:rsidR="008978A1" w:rsidRDefault="008978A1" w:rsidP="008978A1">
      <w:pPr>
        <w:pStyle w:val="APAReference"/>
      </w:pPr>
      <w:proofErr w:type="gramStart"/>
      <w:r>
        <w:t>McBride, M. (</w:t>
      </w:r>
      <w:proofErr w:type="spellStart"/>
      <w:r>
        <w:t>n.d.</w:t>
      </w:r>
      <w:proofErr w:type="spellEnd"/>
      <w:r>
        <w:t>).</w:t>
      </w:r>
      <w:proofErr w:type="gramEnd"/>
      <w:r>
        <w:t xml:space="preserve"> </w:t>
      </w:r>
      <w:proofErr w:type="spellStart"/>
      <w:proofErr w:type="gramStart"/>
      <w:r w:rsidRPr="0091394F">
        <w:rPr>
          <w:i/>
          <w:color w:val="FF0000"/>
        </w:rPr>
        <w:t>Ethnogeriatrics</w:t>
      </w:r>
      <w:proofErr w:type="spellEnd"/>
      <w:r w:rsidRPr="0091394F">
        <w:rPr>
          <w:i/>
          <w:color w:val="FF0000"/>
        </w:rPr>
        <w:t xml:space="preserve"> and cultural competence for nursing practice</w:t>
      </w:r>
      <w:r>
        <w:t>.</w:t>
      </w:r>
      <w:proofErr w:type="gramEnd"/>
      <w:r>
        <w:t xml:space="preserve"> </w:t>
      </w:r>
      <w:proofErr w:type="spellStart"/>
      <w:proofErr w:type="gramStart"/>
      <w:r>
        <w:t>Hardford</w:t>
      </w:r>
      <w:proofErr w:type="spellEnd"/>
      <w:r>
        <w:t xml:space="preserve"> Institute for Geriatric Nursin</w:t>
      </w:r>
      <w:r w:rsidR="0091394F">
        <w:rPr>
          <w:color w:val="FF0000"/>
        </w:rPr>
        <w:t>g</w:t>
      </w:r>
      <w:r>
        <w:t>.</w:t>
      </w:r>
      <w:proofErr w:type="gramEnd"/>
      <w:r>
        <w:t xml:space="preserve"> Retrieved from http://consultgerirn.org/topics/ethnogeriatrics_and_cultural_competence_for_nursing_practice/want_to_know_more</w:t>
      </w:r>
    </w:p>
    <w:p w:rsidR="008978A1" w:rsidRDefault="008978A1" w:rsidP="008978A1">
      <w:pPr>
        <w:pStyle w:val="APAReference"/>
      </w:pPr>
      <w:proofErr w:type="spellStart"/>
      <w:r>
        <w:t>Talmantes</w:t>
      </w:r>
      <w:proofErr w:type="spellEnd"/>
      <w:r>
        <w:t xml:space="preserve">, </w:t>
      </w:r>
      <w:proofErr w:type="spellStart"/>
      <w:r>
        <w:t>M.</w:t>
      </w:r>
      <w:proofErr w:type="gramStart"/>
      <w:r>
        <w:t>,Lindeman</w:t>
      </w:r>
      <w:proofErr w:type="spellEnd"/>
      <w:proofErr w:type="gramEnd"/>
      <w:r>
        <w:t>, R.,</w:t>
      </w:r>
      <w:r w:rsidR="0091394F">
        <w:t xml:space="preserve"> </w:t>
      </w:r>
      <w:r>
        <w:t>&amp; Mouton</w:t>
      </w:r>
      <w:r w:rsidR="0091394F">
        <w:rPr>
          <w:color w:val="FF0000"/>
        </w:rPr>
        <w:t>,</w:t>
      </w:r>
      <w:r>
        <w:t xml:space="preserve"> C. (2001). </w:t>
      </w:r>
      <w:r w:rsidRPr="0091394F">
        <w:rPr>
          <w:i/>
          <w:color w:val="FF0000"/>
        </w:rPr>
        <w:t xml:space="preserve">Health and health care of Hispanic/Latino American </w:t>
      </w:r>
      <w:r w:rsidR="0091394F" w:rsidRPr="0091394F">
        <w:rPr>
          <w:i/>
          <w:color w:val="FF0000"/>
        </w:rPr>
        <w:t>e</w:t>
      </w:r>
      <w:r w:rsidRPr="0091394F">
        <w:rPr>
          <w:i/>
          <w:color w:val="FF0000"/>
        </w:rPr>
        <w:t>lders</w:t>
      </w:r>
      <w:r>
        <w:t xml:space="preserve"> (2</w:t>
      </w:r>
      <w:r w:rsidRPr="008978A1">
        <w:rPr>
          <w:vertAlign w:val="superscript"/>
        </w:rPr>
        <w:t>nd</w:t>
      </w:r>
      <w:r>
        <w:t xml:space="preserve"> </w:t>
      </w:r>
      <w:proofErr w:type="gramStart"/>
      <w:r>
        <w:t>ed</w:t>
      </w:r>
      <w:commentRangeStart w:id="16"/>
      <w:proofErr w:type="gramEnd"/>
      <w:r>
        <w:t xml:space="preserve">.). </w:t>
      </w:r>
      <w:proofErr w:type="gramStart"/>
      <w:r>
        <w:t>Stanford Geriatric Center.</w:t>
      </w:r>
      <w:proofErr w:type="gramEnd"/>
      <w:r>
        <w:t xml:space="preserve"> </w:t>
      </w:r>
      <w:proofErr w:type="gramStart"/>
      <w:r>
        <w:t>Supported by the Bureau of Health Professionals Health Resources and Service Administration U.S. Department of Health and Human Services</w:t>
      </w:r>
      <w:commentRangeEnd w:id="16"/>
      <w:r w:rsidR="0091394F">
        <w:rPr>
          <w:rStyle w:val="CommentReference"/>
        </w:rPr>
        <w:commentReference w:id="16"/>
      </w:r>
      <w:r>
        <w:t>.</w:t>
      </w:r>
      <w:proofErr w:type="gramEnd"/>
      <w:r>
        <w:t xml:space="preserve"> </w:t>
      </w:r>
      <w:proofErr w:type="spellStart"/>
      <w:r>
        <w:t>Retireved</w:t>
      </w:r>
      <w:proofErr w:type="spellEnd"/>
      <w:r>
        <w:t xml:space="preserve"> from http://www.standfordedy/group/ethnoger/index.html</w:t>
      </w:r>
    </w:p>
    <w:p w:rsidR="008978A1" w:rsidRPr="00713E88" w:rsidRDefault="008978A1" w:rsidP="008978A1">
      <w:pPr>
        <w:pStyle w:val="APAReference"/>
        <w:ind w:firstLine="0"/>
      </w:pPr>
    </w:p>
    <w:sectPr w:rsidR="008978A1" w:rsidRPr="00713E88" w:rsidSect="002041A1">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MEdwards" w:date="2012-04-26T15:36:00Z" w:initials="M">
    <w:p w:rsidR="0091394F" w:rsidRDefault="0091394F">
      <w:pPr>
        <w:pStyle w:val="CommentText"/>
      </w:pPr>
      <w:r>
        <w:rPr>
          <w:rStyle w:val="CommentReference"/>
        </w:rPr>
        <w:annotationRef/>
      </w:r>
      <w:r>
        <w:t>APA calls for double space</w:t>
      </w:r>
    </w:p>
  </w:comment>
  <w:comment w:id="11" w:author="MEdwards" w:date="2012-04-26T15:42:00Z" w:initials="M">
    <w:p w:rsidR="0091394F" w:rsidRDefault="0091394F">
      <w:pPr>
        <w:pStyle w:val="CommentText"/>
      </w:pPr>
      <w:r>
        <w:rPr>
          <w:rStyle w:val="CommentReference"/>
        </w:rPr>
        <w:annotationRef/>
      </w:r>
      <w:r>
        <w:t xml:space="preserve">Reference page should be on the last </w:t>
      </w:r>
      <w:proofErr w:type="spellStart"/>
      <w:r>
        <w:t>pg</w:t>
      </w:r>
      <w:proofErr w:type="spellEnd"/>
      <w:r>
        <w:t xml:space="preserve"> and by </w:t>
      </w:r>
      <w:proofErr w:type="spellStart"/>
      <w:r>
        <w:t>it self</w:t>
      </w:r>
      <w:proofErr w:type="spellEnd"/>
      <w:r>
        <w:t xml:space="preserve"> or as in this you should have put it on </w:t>
      </w:r>
      <w:proofErr w:type="spellStart"/>
      <w:r>
        <w:t>pg</w:t>
      </w:r>
      <w:proofErr w:type="spellEnd"/>
      <w:r>
        <w:t xml:space="preserve"> per self</w:t>
      </w:r>
    </w:p>
  </w:comment>
  <w:comment w:id="12" w:author="MEdwards" w:date="2012-04-26T15:42:00Z" w:initials="M">
    <w:p w:rsidR="0091394F" w:rsidRDefault="0091394F">
      <w:pPr>
        <w:pStyle w:val="CommentText"/>
      </w:pPr>
      <w:r>
        <w:rPr>
          <w:rStyle w:val="CommentReference"/>
        </w:rPr>
        <w:annotationRef/>
      </w:r>
      <w:r>
        <w:t>Why aren’t these indented</w:t>
      </w:r>
    </w:p>
  </w:comment>
  <w:comment w:id="14" w:author="MEdwards" w:date="2012-04-26T15:43:00Z" w:initials="M">
    <w:p w:rsidR="0091394F" w:rsidRDefault="0091394F">
      <w:pPr>
        <w:pStyle w:val="CommentText"/>
      </w:pPr>
      <w:r>
        <w:rPr>
          <w:rStyle w:val="CommentReference"/>
        </w:rPr>
        <w:annotationRef/>
      </w:r>
      <w:r>
        <w:t>Needed a title to separate this</w:t>
      </w:r>
    </w:p>
  </w:comment>
  <w:comment w:id="15" w:author="MEdwards" w:date="2012-04-26T15:39:00Z" w:initials="M">
    <w:p w:rsidR="0091394F" w:rsidRDefault="0091394F">
      <w:pPr>
        <w:pStyle w:val="CommentText"/>
      </w:pPr>
      <w:r>
        <w:rPr>
          <w:rStyle w:val="CommentReference"/>
        </w:rPr>
        <w:annotationRef/>
      </w:r>
      <w:r>
        <w:t>You should have just put the letters down</w:t>
      </w:r>
    </w:p>
  </w:comment>
  <w:comment w:id="16" w:author="MEdwards" w:date="2012-04-26T15:45:00Z" w:initials="M">
    <w:p w:rsidR="0091394F" w:rsidRDefault="0091394F">
      <w:pPr>
        <w:pStyle w:val="CommentText"/>
      </w:pPr>
      <w:r>
        <w:rPr>
          <w:rStyle w:val="CommentReference"/>
        </w:rPr>
        <w:annotationRef/>
      </w:r>
      <w:r>
        <w:t>Do not need all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AE" w:rsidRDefault="00D56BAE">
      <w:r>
        <w:separator/>
      </w:r>
    </w:p>
  </w:endnote>
  <w:endnote w:type="continuationSeparator" w:id="0">
    <w:p w:rsidR="00D56BAE" w:rsidRDefault="00D5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A1" w:rsidRDefault="00204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A1" w:rsidRDefault="002041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A1" w:rsidRDefault="00204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AE" w:rsidRDefault="00D56BAE">
      <w:r>
        <w:separator/>
      </w:r>
    </w:p>
  </w:footnote>
  <w:footnote w:type="continuationSeparator" w:id="0">
    <w:p w:rsidR="00D56BAE" w:rsidRDefault="00D56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A1" w:rsidRDefault="002041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A1" w:rsidRPr="002041A1" w:rsidRDefault="002041A1" w:rsidP="002041A1">
    <w:pPr>
      <w:pStyle w:val="APAPageHeading"/>
    </w:pPr>
    <w:r>
      <w:t>CULTURAL DIVERSITY</w:t>
    </w:r>
    <w:r>
      <w:tab/>
    </w:r>
    <w:r w:rsidR="0091394F">
      <w:fldChar w:fldCharType="begin"/>
    </w:r>
    <w:r w:rsidR="0091394F">
      <w:instrText xml:space="preserve"> PAGE  \* MERGEFORMAT </w:instrText>
    </w:r>
    <w:r w:rsidR="0091394F">
      <w:fldChar w:fldCharType="separate"/>
    </w:r>
    <w:r w:rsidR="0091394F">
      <w:rPr>
        <w:noProof/>
      </w:rPr>
      <w:t>3</w:t>
    </w:r>
    <w:r w:rsidR="0091394F">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A1" w:rsidRPr="002041A1" w:rsidRDefault="002041A1" w:rsidP="002041A1">
    <w:pPr>
      <w:pStyle w:val="APAPageHeading"/>
    </w:pPr>
    <w:r>
      <w:t>Running head: CULTURAL DIVERSITY</w:t>
    </w:r>
    <w:r>
      <w:tab/>
    </w:r>
    <w:r w:rsidR="0091394F">
      <w:fldChar w:fldCharType="begin"/>
    </w:r>
    <w:r w:rsidR="0091394F">
      <w:instrText xml:space="preserve"> PAGE  \* MERGEFORMAT </w:instrText>
    </w:r>
    <w:r w:rsidR="0091394F">
      <w:fldChar w:fldCharType="separate"/>
    </w:r>
    <w:r w:rsidR="0091394F">
      <w:rPr>
        <w:noProof/>
      </w:rPr>
      <w:t>1</w:t>
    </w:r>
    <w:r w:rsidR="0091394F">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A1" w:rsidRPr="002041A1" w:rsidRDefault="002041A1" w:rsidP="002041A1">
    <w:pPr>
      <w:pStyle w:val="APAPageHeading"/>
    </w:pPr>
    <w:r>
      <w:t>CULTURAL DIVERSITY</w:t>
    </w:r>
    <w:r>
      <w:tab/>
    </w:r>
    <w:r w:rsidR="0091394F">
      <w:fldChar w:fldCharType="begin"/>
    </w:r>
    <w:r w:rsidR="0091394F">
      <w:instrText xml:space="preserve"> PAGE  \* MERGEFORMAT </w:instrText>
    </w:r>
    <w:r w:rsidR="0091394F">
      <w:fldChar w:fldCharType="separate"/>
    </w:r>
    <w:r w:rsidR="0091394F">
      <w:rPr>
        <w:noProof/>
      </w:rPr>
      <w:t>2</w:t>
    </w:r>
    <w:r w:rsidR="0091394F">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439BF"/>
    <w:multiLevelType w:val="multilevel"/>
    <w:tmpl w:val="10FAC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B2ACA"/>
    <w:multiLevelType w:val="multilevel"/>
    <w:tmpl w:val="6896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6E18FE"/>
    <w:multiLevelType w:val="hybridMultilevel"/>
    <w:tmpl w:val="B82867C8"/>
    <w:lvl w:ilvl="0" w:tplc="E620D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EB536D"/>
    <w:multiLevelType w:val="hybridMultilevel"/>
    <w:tmpl w:val="4A60CBE2"/>
    <w:lvl w:ilvl="0" w:tplc="28EE7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0117520023148I0" w:val="*1,262˜11Melen~~McBride~˜1203n.d.˜13Ethnogeriatrics and cultural competence for nursing practice˜2701˜1112˜112http://consultgerirn.org/topics/ethnogeriatrics_and_cultural_competence_for_nursing_practice/want_to_know_more/˜"/>
    <w:docVar w:name="bmHeaderInfo" w:val="CULTURAL DIVERSITY"/>
    <w:docVar w:name="cIsAbstract" w:val="False"/>
    <w:docVar w:name="cPaperAPAOrMLA" w:val="1"/>
    <w:docVar w:name="cUniquePaperID" w:val="410117429050926I0"/>
    <w:docVar w:name="LastEditedVersion" w:val="5"/>
  </w:docVars>
  <w:rsids>
    <w:rsidRoot w:val="00D857F2"/>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6B3E"/>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1A1"/>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63E"/>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1E9D"/>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C5B67"/>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646"/>
    <w:rsid w:val="00665941"/>
    <w:rsid w:val="00666DBA"/>
    <w:rsid w:val="00670370"/>
    <w:rsid w:val="00670BC7"/>
    <w:rsid w:val="00670D1A"/>
    <w:rsid w:val="00676629"/>
    <w:rsid w:val="00676C04"/>
    <w:rsid w:val="006772EC"/>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3E8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978A1"/>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394F"/>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0428"/>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09B"/>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50AC"/>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6BAE"/>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857F2"/>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654"/>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8A2"/>
    <w:rsid w:val="00FC6907"/>
    <w:rsid w:val="00FD1691"/>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table" w:styleId="TableGrid">
    <w:name w:val="Table Grid"/>
    <w:basedOn w:val="TableNormal"/>
    <w:rsid w:val="00713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5B67"/>
    <w:pPr>
      <w:overflowPunct/>
      <w:autoSpaceDE/>
      <w:autoSpaceDN/>
      <w:adjustRightInd/>
      <w:spacing w:before="100" w:beforeAutospacing="1" w:after="100" w:afterAutospacing="1"/>
      <w:textAlignment w:val="auto"/>
    </w:pPr>
    <w:rPr>
      <w:color w:val="000000"/>
      <w:sz w:val="24"/>
      <w:szCs w:val="24"/>
    </w:rPr>
  </w:style>
  <w:style w:type="paragraph" w:styleId="BalloonText">
    <w:name w:val="Balloon Text"/>
    <w:basedOn w:val="Normal"/>
    <w:link w:val="BalloonTextChar"/>
    <w:rsid w:val="005C5B67"/>
    <w:rPr>
      <w:rFonts w:ascii="Tahoma" w:hAnsi="Tahoma" w:cs="Tahoma"/>
      <w:sz w:val="16"/>
      <w:szCs w:val="16"/>
    </w:rPr>
  </w:style>
  <w:style w:type="character" w:customStyle="1" w:styleId="BalloonTextChar">
    <w:name w:val="Balloon Text Char"/>
    <w:basedOn w:val="DefaultParagraphFont"/>
    <w:link w:val="BalloonText"/>
    <w:rsid w:val="005C5B67"/>
    <w:rPr>
      <w:rFonts w:ascii="Tahoma" w:hAnsi="Tahoma" w:cs="Tahoma"/>
      <w:sz w:val="16"/>
      <w:szCs w:val="16"/>
    </w:rPr>
  </w:style>
  <w:style w:type="character" w:styleId="CommentReference">
    <w:name w:val="annotation reference"/>
    <w:basedOn w:val="DefaultParagraphFont"/>
    <w:rsid w:val="0091394F"/>
    <w:rPr>
      <w:sz w:val="16"/>
      <w:szCs w:val="16"/>
    </w:rPr>
  </w:style>
  <w:style w:type="paragraph" w:styleId="CommentText">
    <w:name w:val="annotation text"/>
    <w:basedOn w:val="Normal"/>
    <w:link w:val="CommentTextChar"/>
    <w:rsid w:val="0091394F"/>
  </w:style>
  <w:style w:type="character" w:customStyle="1" w:styleId="CommentTextChar">
    <w:name w:val="Comment Text Char"/>
    <w:basedOn w:val="DefaultParagraphFont"/>
    <w:link w:val="CommentText"/>
    <w:rsid w:val="0091394F"/>
  </w:style>
  <w:style w:type="paragraph" w:styleId="CommentSubject">
    <w:name w:val="annotation subject"/>
    <w:basedOn w:val="CommentText"/>
    <w:next w:val="CommentText"/>
    <w:link w:val="CommentSubjectChar"/>
    <w:rsid w:val="0091394F"/>
    <w:rPr>
      <w:b/>
      <w:bCs/>
    </w:rPr>
  </w:style>
  <w:style w:type="character" w:customStyle="1" w:styleId="CommentSubjectChar">
    <w:name w:val="Comment Subject Char"/>
    <w:basedOn w:val="CommentTextChar"/>
    <w:link w:val="CommentSubject"/>
    <w:rsid w:val="009139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table" w:styleId="TableGrid">
    <w:name w:val="Table Grid"/>
    <w:basedOn w:val="TableNormal"/>
    <w:rsid w:val="00713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5B67"/>
    <w:pPr>
      <w:overflowPunct/>
      <w:autoSpaceDE/>
      <w:autoSpaceDN/>
      <w:adjustRightInd/>
      <w:spacing w:before="100" w:beforeAutospacing="1" w:after="100" w:afterAutospacing="1"/>
      <w:textAlignment w:val="auto"/>
    </w:pPr>
    <w:rPr>
      <w:color w:val="000000"/>
      <w:sz w:val="24"/>
      <w:szCs w:val="24"/>
    </w:rPr>
  </w:style>
  <w:style w:type="paragraph" w:styleId="BalloonText">
    <w:name w:val="Balloon Text"/>
    <w:basedOn w:val="Normal"/>
    <w:link w:val="BalloonTextChar"/>
    <w:rsid w:val="005C5B67"/>
    <w:rPr>
      <w:rFonts w:ascii="Tahoma" w:hAnsi="Tahoma" w:cs="Tahoma"/>
      <w:sz w:val="16"/>
      <w:szCs w:val="16"/>
    </w:rPr>
  </w:style>
  <w:style w:type="character" w:customStyle="1" w:styleId="BalloonTextChar">
    <w:name w:val="Balloon Text Char"/>
    <w:basedOn w:val="DefaultParagraphFont"/>
    <w:link w:val="BalloonText"/>
    <w:rsid w:val="005C5B67"/>
    <w:rPr>
      <w:rFonts w:ascii="Tahoma" w:hAnsi="Tahoma" w:cs="Tahoma"/>
      <w:sz w:val="16"/>
      <w:szCs w:val="16"/>
    </w:rPr>
  </w:style>
  <w:style w:type="character" w:styleId="CommentReference">
    <w:name w:val="annotation reference"/>
    <w:basedOn w:val="DefaultParagraphFont"/>
    <w:rsid w:val="0091394F"/>
    <w:rPr>
      <w:sz w:val="16"/>
      <w:szCs w:val="16"/>
    </w:rPr>
  </w:style>
  <w:style w:type="paragraph" w:styleId="CommentText">
    <w:name w:val="annotation text"/>
    <w:basedOn w:val="Normal"/>
    <w:link w:val="CommentTextChar"/>
    <w:rsid w:val="0091394F"/>
  </w:style>
  <w:style w:type="character" w:customStyle="1" w:styleId="CommentTextChar">
    <w:name w:val="Comment Text Char"/>
    <w:basedOn w:val="DefaultParagraphFont"/>
    <w:link w:val="CommentText"/>
    <w:rsid w:val="0091394F"/>
  </w:style>
  <w:style w:type="paragraph" w:styleId="CommentSubject">
    <w:name w:val="annotation subject"/>
    <w:basedOn w:val="CommentText"/>
    <w:next w:val="CommentText"/>
    <w:link w:val="CommentSubjectChar"/>
    <w:rsid w:val="0091394F"/>
    <w:rPr>
      <w:b/>
      <w:bCs/>
    </w:rPr>
  </w:style>
  <w:style w:type="character" w:customStyle="1" w:styleId="CommentSubjectChar">
    <w:name w:val="Comment Subject Char"/>
    <w:basedOn w:val="CommentTextChar"/>
    <w:link w:val="CommentSubject"/>
    <w:rsid w:val="00913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8268">
      <w:bodyDiv w:val="1"/>
      <w:marLeft w:val="0"/>
      <w:marRight w:val="0"/>
      <w:marTop w:val="0"/>
      <w:marBottom w:val="0"/>
      <w:divBdr>
        <w:top w:val="none" w:sz="0" w:space="0" w:color="auto"/>
        <w:left w:val="none" w:sz="0" w:space="0" w:color="auto"/>
        <w:bottom w:val="none" w:sz="0" w:space="0" w:color="auto"/>
        <w:right w:val="none" w:sz="0" w:space="0" w:color="auto"/>
      </w:divBdr>
      <w:divsChild>
        <w:div w:id="1678382072">
          <w:marLeft w:val="0"/>
          <w:marRight w:val="0"/>
          <w:marTop w:val="210"/>
          <w:marBottom w:val="210"/>
          <w:divBdr>
            <w:top w:val="none" w:sz="0" w:space="0" w:color="auto"/>
            <w:left w:val="none" w:sz="0" w:space="0" w:color="auto"/>
            <w:bottom w:val="none" w:sz="0" w:space="0" w:color="auto"/>
            <w:right w:val="none" w:sz="0" w:space="0" w:color="auto"/>
          </w:divBdr>
          <w:divsChild>
            <w:div w:id="1371953851">
              <w:marLeft w:val="0"/>
              <w:marRight w:val="0"/>
              <w:marTop w:val="0"/>
              <w:marBottom w:val="0"/>
              <w:divBdr>
                <w:top w:val="none" w:sz="0" w:space="0" w:color="auto"/>
                <w:left w:val="none" w:sz="0" w:space="0" w:color="auto"/>
                <w:bottom w:val="none" w:sz="0" w:space="0" w:color="auto"/>
                <w:right w:val="none" w:sz="0" w:space="0" w:color="auto"/>
              </w:divBdr>
              <w:divsChild>
                <w:div w:id="545680974">
                  <w:marLeft w:val="0"/>
                  <w:marRight w:val="0"/>
                  <w:marTop w:val="0"/>
                  <w:marBottom w:val="0"/>
                  <w:divBdr>
                    <w:top w:val="none" w:sz="0" w:space="0" w:color="auto"/>
                    <w:left w:val="none" w:sz="0" w:space="0" w:color="auto"/>
                    <w:bottom w:val="none" w:sz="0" w:space="0" w:color="auto"/>
                    <w:right w:val="none" w:sz="0" w:space="0" w:color="auto"/>
                  </w:divBdr>
                  <w:divsChild>
                    <w:div w:id="312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08097">
      <w:bodyDiv w:val="1"/>
      <w:marLeft w:val="0"/>
      <w:marRight w:val="0"/>
      <w:marTop w:val="0"/>
      <w:marBottom w:val="0"/>
      <w:divBdr>
        <w:top w:val="none" w:sz="0" w:space="0" w:color="auto"/>
        <w:left w:val="none" w:sz="0" w:space="0" w:color="auto"/>
        <w:bottom w:val="none" w:sz="0" w:space="0" w:color="auto"/>
        <w:right w:val="none" w:sz="0" w:space="0" w:color="auto"/>
      </w:divBdr>
      <w:divsChild>
        <w:div w:id="975644002">
          <w:marLeft w:val="0"/>
          <w:marRight w:val="0"/>
          <w:marTop w:val="210"/>
          <w:marBottom w:val="210"/>
          <w:divBdr>
            <w:top w:val="none" w:sz="0" w:space="0" w:color="auto"/>
            <w:left w:val="none" w:sz="0" w:space="0" w:color="auto"/>
            <w:bottom w:val="none" w:sz="0" w:space="0" w:color="auto"/>
            <w:right w:val="none" w:sz="0" w:space="0" w:color="auto"/>
          </w:divBdr>
          <w:divsChild>
            <w:div w:id="240528812">
              <w:marLeft w:val="0"/>
              <w:marRight w:val="0"/>
              <w:marTop w:val="0"/>
              <w:marBottom w:val="0"/>
              <w:divBdr>
                <w:top w:val="none" w:sz="0" w:space="0" w:color="auto"/>
                <w:left w:val="none" w:sz="0" w:space="0" w:color="auto"/>
                <w:bottom w:val="none" w:sz="0" w:space="0" w:color="auto"/>
                <w:right w:val="none" w:sz="0" w:space="0" w:color="auto"/>
              </w:divBdr>
              <w:divsChild>
                <w:div w:id="1272544158">
                  <w:marLeft w:val="0"/>
                  <w:marRight w:val="0"/>
                  <w:marTop w:val="0"/>
                  <w:marBottom w:val="0"/>
                  <w:divBdr>
                    <w:top w:val="none" w:sz="0" w:space="0" w:color="auto"/>
                    <w:left w:val="none" w:sz="0" w:space="0" w:color="auto"/>
                    <w:bottom w:val="none" w:sz="0" w:space="0" w:color="auto"/>
                    <w:right w:val="none" w:sz="0" w:space="0" w:color="auto"/>
                  </w:divBdr>
                  <w:divsChild>
                    <w:div w:id="2297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8550">
      <w:bodyDiv w:val="1"/>
      <w:marLeft w:val="0"/>
      <w:marRight w:val="0"/>
      <w:marTop w:val="0"/>
      <w:marBottom w:val="0"/>
      <w:divBdr>
        <w:top w:val="none" w:sz="0" w:space="0" w:color="auto"/>
        <w:left w:val="none" w:sz="0" w:space="0" w:color="auto"/>
        <w:bottom w:val="none" w:sz="0" w:space="0" w:color="auto"/>
        <w:right w:val="none" w:sz="0" w:space="0" w:color="auto"/>
      </w:divBdr>
      <w:divsChild>
        <w:div w:id="579797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wards\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6</Pages>
  <Words>1236</Words>
  <Characters>7051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Cultural Diversity</vt:lpstr>
    </vt:vector>
  </TitlesOfParts>
  <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Diversity</dc:title>
  <dc:subject>Copyright</dc:subject>
  <dc:creator>Chelsea Oberheim</dc:creator>
  <cp:lastModifiedBy>MEdwards</cp:lastModifiedBy>
  <cp:revision>2</cp:revision>
  <dcterms:created xsi:type="dcterms:W3CDTF">2012-04-26T20:46:00Z</dcterms:created>
  <dcterms:modified xsi:type="dcterms:W3CDTF">2012-04-26T20:46:00Z</dcterms:modified>
</cp:coreProperties>
</file>