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37" w:rsidRDefault="00C66B37" w:rsidP="00C66B37">
      <w:pPr>
        <w:pStyle w:val="APA"/>
      </w:pPr>
    </w:p>
    <w:p w:rsidR="00C66B37" w:rsidRDefault="00C66B37" w:rsidP="00C66B37">
      <w:pPr>
        <w:pStyle w:val="APA"/>
      </w:pPr>
    </w:p>
    <w:p w:rsidR="00C66B37" w:rsidRDefault="00C66B37" w:rsidP="00C66B37">
      <w:pPr>
        <w:pStyle w:val="APA"/>
      </w:pPr>
    </w:p>
    <w:p w:rsidR="00C66B37" w:rsidRDefault="00C66B37" w:rsidP="00C66B37">
      <w:pPr>
        <w:pStyle w:val="APA"/>
      </w:pPr>
    </w:p>
    <w:p w:rsidR="00C66B37" w:rsidRPr="00294C0A" w:rsidRDefault="00294C0A" w:rsidP="00C66B37">
      <w:pPr>
        <w:pStyle w:val="APA"/>
        <w:rPr>
          <w:color w:val="FF0000"/>
        </w:rPr>
      </w:pPr>
      <w:r w:rsidRPr="00294C0A">
        <w:rPr>
          <w:color w:val="FF0000"/>
        </w:rPr>
        <w:t>14.75/15</w:t>
      </w:r>
    </w:p>
    <w:p w:rsidR="00C66B37" w:rsidRDefault="00C66B37" w:rsidP="00C66B37">
      <w:pPr>
        <w:pStyle w:val="APA"/>
      </w:pPr>
    </w:p>
    <w:p w:rsidR="00C66B37" w:rsidRDefault="00C66B37" w:rsidP="00C66B37">
      <w:pPr>
        <w:pStyle w:val="APA"/>
      </w:pPr>
    </w:p>
    <w:p w:rsidR="00C66B37" w:rsidRDefault="00C66B37" w:rsidP="00C66B37">
      <w:pPr>
        <w:pStyle w:val="APAHeadingCenter"/>
      </w:pPr>
      <w:bookmarkStart w:id="0" w:name="bmTitlePageTitle"/>
      <w:r>
        <w:t>18.1 &amp; 18.2</w:t>
      </w:r>
      <w:bookmarkEnd w:id="0"/>
    </w:p>
    <w:p w:rsidR="00C66B37" w:rsidRDefault="00C66B37" w:rsidP="00C66B37">
      <w:pPr>
        <w:pStyle w:val="APAHeadingCenter"/>
      </w:pPr>
      <w:bookmarkStart w:id="1" w:name="bmTitlePageName"/>
      <w:r>
        <w:t>Chelsea Lowe</w:t>
      </w:r>
      <w:bookmarkEnd w:id="1"/>
    </w:p>
    <w:p w:rsidR="00C66B37" w:rsidRDefault="00C66B37" w:rsidP="00C66B37">
      <w:pPr>
        <w:pStyle w:val="APAHeadingCenter"/>
      </w:pPr>
      <w:bookmarkStart w:id="2" w:name="bmTitlePageInst"/>
      <w:r>
        <w:t>Lakeview College of Nursing</w:t>
      </w:r>
      <w:bookmarkEnd w:id="2"/>
    </w:p>
    <w:p w:rsidR="00C66B37" w:rsidRDefault="00C66B37" w:rsidP="00C66B37">
      <w:pPr>
        <w:pStyle w:val="APAHeadingCenter"/>
      </w:pPr>
      <w:bookmarkStart w:id="3" w:name="bmTitleAdd1"/>
      <w:bookmarkEnd w:id="3"/>
    </w:p>
    <w:p w:rsidR="00C66B37" w:rsidRDefault="00C66B37" w:rsidP="00C66B37">
      <w:pPr>
        <w:pStyle w:val="APAHeadingCenter"/>
      </w:pPr>
      <w:bookmarkStart w:id="4" w:name="bmTitleAdd2"/>
      <w:bookmarkEnd w:id="4"/>
    </w:p>
    <w:p w:rsidR="00C66B37" w:rsidRDefault="00C66B37" w:rsidP="00C66B37">
      <w:pPr>
        <w:pStyle w:val="APAHeadingCenter"/>
      </w:pPr>
      <w:bookmarkStart w:id="5" w:name="bmTitleAdd3"/>
      <w:bookmarkEnd w:id="5"/>
    </w:p>
    <w:p w:rsidR="00C66B37" w:rsidRDefault="00C66B37" w:rsidP="00C66B37">
      <w:pPr>
        <w:pStyle w:val="APAHeadingCenter"/>
      </w:pPr>
      <w:bookmarkStart w:id="6" w:name="bmTitleAdd4"/>
      <w:bookmarkEnd w:id="6"/>
    </w:p>
    <w:p w:rsidR="00C66B37" w:rsidRDefault="00C66B37" w:rsidP="00C66B37">
      <w:pPr>
        <w:pStyle w:val="APA"/>
        <w:sectPr w:rsidR="00C66B37" w:rsidSect="00C66B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C66B37" w:rsidRDefault="00C66B37" w:rsidP="00C66B37">
      <w:pPr>
        <w:pStyle w:val="APA"/>
        <w:sectPr w:rsidR="00C66B37" w:rsidSect="00C66B37">
          <w:headerReference w:type="first" r:id="rId12"/>
          <w:type w:val="continuous"/>
          <w:pgSz w:w="12240" w:h="15840" w:code="1"/>
          <w:pgMar w:top="1440" w:right="1440" w:bottom="1440" w:left="1440" w:header="720" w:footer="720" w:gutter="0"/>
          <w:cols w:space="720"/>
          <w:titlePg/>
          <w:docGrid w:linePitch="360"/>
        </w:sectPr>
      </w:pPr>
    </w:p>
    <w:p w:rsidR="00C66B37" w:rsidRDefault="00C66B37" w:rsidP="00C66B37">
      <w:pPr>
        <w:pStyle w:val="APAHeadingCenter"/>
      </w:pPr>
      <w:bookmarkStart w:id="7" w:name="bmFirstPageTitle"/>
      <w:r>
        <w:lastRenderedPageBreak/>
        <w:t>18.1 &amp; 18.2</w:t>
      </w:r>
      <w:bookmarkEnd w:id="7"/>
    </w:p>
    <w:p w:rsidR="00E6284C" w:rsidRDefault="00603C2F" w:rsidP="00C66B37">
      <w:pPr>
        <w:pStyle w:val="APA"/>
      </w:pPr>
      <w:r>
        <w:t xml:space="preserve">1. </w:t>
      </w:r>
      <w:r w:rsidR="00166CE6">
        <w:t xml:space="preserve">Culture: </w:t>
      </w:r>
      <w:r w:rsidR="00032DDA">
        <w:t>fine arts, humanities</w:t>
      </w:r>
      <w:r w:rsidR="00166CE6">
        <w:t xml:space="preserve">, </w:t>
      </w:r>
      <w:r w:rsidR="00032DDA">
        <w:t xml:space="preserve">beliefs, </w:t>
      </w:r>
      <w:r w:rsidR="00166CE6">
        <w:t>behaviors</w:t>
      </w:r>
      <w:r w:rsidR="000B7DC6">
        <w:t xml:space="preserve">, </w:t>
      </w:r>
      <w:r w:rsidR="00032DDA">
        <w:t xml:space="preserve">and </w:t>
      </w:r>
      <w:r w:rsidR="000B7DC6">
        <w:t xml:space="preserve">colony of bacteria, </w:t>
      </w:r>
    </w:p>
    <w:p w:rsidR="000B7DC6" w:rsidRDefault="000B7DC6" w:rsidP="00C66B37">
      <w:pPr>
        <w:pStyle w:val="APA"/>
      </w:pPr>
      <w:r>
        <w:t xml:space="preserve">2. “If you don’t vote for </w:t>
      </w:r>
      <w:r w:rsidR="00675502">
        <w:t>George W. Bush then you were going to hell because you aren’t a Christian.”</w:t>
      </w:r>
    </w:p>
    <w:tbl>
      <w:tblPr>
        <w:tblpPr w:leftFromText="180" w:rightFromText="180" w:vertAnchor="text" w:horzAnchor="page" w:tblpX="3133"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350"/>
      </w:tblGrid>
      <w:tr w:rsidR="00675502" w:rsidTr="00675502">
        <w:tc>
          <w:tcPr>
            <w:tcW w:w="1710" w:type="dxa"/>
          </w:tcPr>
          <w:p w:rsidR="00675502" w:rsidRDefault="00675502" w:rsidP="00675502">
            <w:pPr>
              <w:pStyle w:val="APA"/>
              <w:ind w:firstLine="0"/>
              <w:jc w:val="center"/>
            </w:pPr>
            <w:r>
              <w:t>2010</w:t>
            </w:r>
          </w:p>
        </w:tc>
        <w:tc>
          <w:tcPr>
            <w:tcW w:w="1350" w:type="dxa"/>
          </w:tcPr>
          <w:p w:rsidR="00675502" w:rsidRDefault="00675502" w:rsidP="00675502">
            <w:pPr>
              <w:pStyle w:val="APA"/>
              <w:ind w:firstLine="0"/>
              <w:jc w:val="center"/>
            </w:pPr>
            <w:r>
              <w:t>2050</w:t>
            </w:r>
          </w:p>
        </w:tc>
      </w:tr>
      <w:tr w:rsidR="00675502" w:rsidTr="00675502">
        <w:tc>
          <w:tcPr>
            <w:tcW w:w="1710" w:type="dxa"/>
          </w:tcPr>
          <w:p w:rsidR="00675502" w:rsidRDefault="00675502" w:rsidP="00675502">
            <w:pPr>
              <w:pStyle w:val="APA"/>
              <w:ind w:firstLine="0"/>
              <w:jc w:val="center"/>
            </w:pPr>
            <w:r>
              <w:t>64.7%</w:t>
            </w:r>
          </w:p>
        </w:tc>
        <w:tc>
          <w:tcPr>
            <w:tcW w:w="1350" w:type="dxa"/>
          </w:tcPr>
          <w:p w:rsidR="00675502" w:rsidRDefault="00675502" w:rsidP="00675502">
            <w:pPr>
              <w:pStyle w:val="APA"/>
              <w:ind w:firstLine="0"/>
              <w:jc w:val="center"/>
            </w:pPr>
            <w:r>
              <w:t>46.3%</w:t>
            </w:r>
          </w:p>
        </w:tc>
      </w:tr>
      <w:tr w:rsidR="00675502" w:rsidTr="00675502">
        <w:tc>
          <w:tcPr>
            <w:tcW w:w="1710" w:type="dxa"/>
          </w:tcPr>
          <w:p w:rsidR="00675502" w:rsidRDefault="00675502" w:rsidP="00675502">
            <w:pPr>
              <w:pStyle w:val="APA"/>
              <w:ind w:firstLine="0"/>
              <w:jc w:val="center"/>
            </w:pPr>
            <w:r>
              <w:t>16%</w:t>
            </w:r>
          </w:p>
        </w:tc>
        <w:tc>
          <w:tcPr>
            <w:tcW w:w="1350" w:type="dxa"/>
          </w:tcPr>
          <w:p w:rsidR="00675502" w:rsidRDefault="00675502" w:rsidP="00675502">
            <w:pPr>
              <w:pStyle w:val="APA"/>
              <w:ind w:firstLine="0"/>
              <w:jc w:val="center"/>
            </w:pPr>
            <w:r>
              <w:t>30.2%</w:t>
            </w:r>
          </w:p>
        </w:tc>
      </w:tr>
      <w:tr w:rsidR="00675502" w:rsidTr="00675502">
        <w:tc>
          <w:tcPr>
            <w:tcW w:w="1710" w:type="dxa"/>
          </w:tcPr>
          <w:p w:rsidR="00675502" w:rsidRDefault="00675502" w:rsidP="00675502">
            <w:pPr>
              <w:pStyle w:val="APA"/>
              <w:ind w:firstLine="0"/>
              <w:jc w:val="center"/>
            </w:pPr>
            <w:r>
              <w:t>12.2%</w:t>
            </w:r>
          </w:p>
        </w:tc>
        <w:tc>
          <w:tcPr>
            <w:tcW w:w="1350" w:type="dxa"/>
          </w:tcPr>
          <w:p w:rsidR="00675502" w:rsidRDefault="00675502" w:rsidP="00675502">
            <w:pPr>
              <w:pStyle w:val="APA"/>
              <w:ind w:firstLine="0"/>
              <w:jc w:val="center"/>
            </w:pPr>
            <w:r>
              <w:t>11.8%</w:t>
            </w:r>
          </w:p>
        </w:tc>
      </w:tr>
      <w:tr w:rsidR="00675502" w:rsidTr="00675502">
        <w:tc>
          <w:tcPr>
            <w:tcW w:w="1710" w:type="dxa"/>
          </w:tcPr>
          <w:p w:rsidR="00675502" w:rsidRDefault="00675502" w:rsidP="00675502">
            <w:pPr>
              <w:pStyle w:val="APA"/>
              <w:ind w:firstLine="0"/>
              <w:jc w:val="center"/>
            </w:pPr>
            <w:r>
              <w:t>4.5%</w:t>
            </w:r>
          </w:p>
        </w:tc>
        <w:tc>
          <w:tcPr>
            <w:tcW w:w="1350" w:type="dxa"/>
          </w:tcPr>
          <w:p w:rsidR="00675502" w:rsidRDefault="00675502" w:rsidP="00675502">
            <w:pPr>
              <w:pStyle w:val="APA"/>
              <w:ind w:firstLine="0"/>
              <w:jc w:val="center"/>
            </w:pPr>
            <w:r>
              <w:t>7.6%</w:t>
            </w:r>
          </w:p>
        </w:tc>
      </w:tr>
      <w:tr w:rsidR="00675502" w:rsidTr="00675502">
        <w:tc>
          <w:tcPr>
            <w:tcW w:w="1710" w:type="dxa"/>
          </w:tcPr>
          <w:p w:rsidR="00675502" w:rsidRDefault="00675502" w:rsidP="00675502">
            <w:pPr>
              <w:pStyle w:val="APA"/>
              <w:ind w:firstLine="0"/>
              <w:jc w:val="center"/>
            </w:pPr>
            <w:r>
              <w:t>0.1%</w:t>
            </w:r>
          </w:p>
        </w:tc>
        <w:tc>
          <w:tcPr>
            <w:tcW w:w="1350" w:type="dxa"/>
          </w:tcPr>
          <w:p w:rsidR="00675502" w:rsidRDefault="00675502" w:rsidP="00675502">
            <w:pPr>
              <w:pStyle w:val="APA"/>
              <w:ind w:firstLine="0"/>
              <w:jc w:val="center"/>
            </w:pPr>
            <w:r>
              <w:t>0.2%</w:t>
            </w:r>
          </w:p>
        </w:tc>
      </w:tr>
      <w:tr w:rsidR="00675502" w:rsidTr="00675502">
        <w:tc>
          <w:tcPr>
            <w:tcW w:w="1710" w:type="dxa"/>
          </w:tcPr>
          <w:p w:rsidR="00675502" w:rsidRDefault="00675502" w:rsidP="00675502">
            <w:pPr>
              <w:pStyle w:val="APA"/>
              <w:ind w:firstLine="0"/>
              <w:jc w:val="center"/>
            </w:pPr>
            <w:r>
              <w:t>0.8%</w:t>
            </w:r>
          </w:p>
        </w:tc>
        <w:tc>
          <w:tcPr>
            <w:tcW w:w="1350" w:type="dxa"/>
          </w:tcPr>
          <w:p w:rsidR="00675502" w:rsidRDefault="00675502" w:rsidP="00675502">
            <w:pPr>
              <w:pStyle w:val="APA"/>
              <w:ind w:firstLine="0"/>
              <w:jc w:val="center"/>
            </w:pPr>
            <w:r>
              <w:t>0.8%</w:t>
            </w:r>
          </w:p>
        </w:tc>
      </w:tr>
      <w:tr w:rsidR="00675502" w:rsidTr="00675502">
        <w:trPr>
          <w:trHeight w:val="107"/>
        </w:trPr>
        <w:tc>
          <w:tcPr>
            <w:tcW w:w="1710" w:type="dxa"/>
          </w:tcPr>
          <w:p w:rsidR="00675502" w:rsidRDefault="00675502" w:rsidP="00675502">
            <w:pPr>
              <w:pStyle w:val="APA"/>
              <w:ind w:firstLine="0"/>
              <w:jc w:val="center"/>
            </w:pPr>
            <w:r>
              <w:t>1.5%</w:t>
            </w:r>
          </w:p>
        </w:tc>
        <w:tc>
          <w:tcPr>
            <w:tcW w:w="1350" w:type="dxa"/>
          </w:tcPr>
          <w:p w:rsidR="00675502" w:rsidRDefault="00675502" w:rsidP="00675502">
            <w:pPr>
              <w:pStyle w:val="APA"/>
              <w:ind w:firstLine="0"/>
              <w:jc w:val="center"/>
            </w:pPr>
            <w:r>
              <w:t>3.0%</w:t>
            </w:r>
          </w:p>
        </w:tc>
      </w:tr>
    </w:tbl>
    <w:p w:rsidR="00675502" w:rsidRDefault="00675502" w:rsidP="00C66B37">
      <w:pPr>
        <w:pStyle w:val="APA"/>
      </w:pPr>
      <w:r>
        <w:t xml:space="preserve">3. </w:t>
      </w:r>
    </w:p>
    <w:p w:rsidR="00675502" w:rsidRDefault="00675502" w:rsidP="00C66B37">
      <w:pPr>
        <w:pStyle w:val="APA"/>
      </w:pPr>
    </w:p>
    <w:p w:rsidR="00675502" w:rsidRDefault="00675502" w:rsidP="00C66B37">
      <w:pPr>
        <w:pStyle w:val="APA"/>
      </w:pPr>
    </w:p>
    <w:p w:rsidR="00675502" w:rsidRDefault="00675502" w:rsidP="00C66B37">
      <w:pPr>
        <w:pStyle w:val="APA"/>
      </w:pPr>
    </w:p>
    <w:p w:rsidR="00675502" w:rsidRDefault="00675502" w:rsidP="00C66B37">
      <w:pPr>
        <w:pStyle w:val="APA"/>
      </w:pPr>
    </w:p>
    <w:p w:rsidR="00675502" w:rsidRDefault="00675502" w:rsidP="00C66B37">
      <w:pPr>
        <w:pStyle w:val="APA"/>
      </w:pPr>
    </w:p>
    <w:p w:rsidR="00675502" w:rsidRDefault="00675502" w:rsidP="00C66B37">
      <w:pPr>
        <w:pStyle w:val="APA"/>
      </w:pPr>
    </w:p>
    <w:p w:rsidR="0091779F" w:rsidRDefault="0091779F" w:rsidP="00C66B37">
      <w:pPr>
        <w:pStyle w:val="APA"/>
      </w:pPr>
    </w:p>
    <w:p w:rsidR="00675502" w:rsidRPr="0091779F" w:rsidRDefault="00675502" w:rsidP="0091779F"/>
    <w:p w:rsidR="00675502" w:rsidRDefault="0091779F" w:rsidP="0091779F">
      <w:pPr>
        <w:pStyle w:val="APA"/>
        <w:tabs>
          <w:tab w:val="left" w:pos="1680"/>
        </w:tabs>
      </w:pPr>
      <w:r>
        <w:tab/>
        <w:t>Source: (Kaiser Family Foundation, 2010)</w:t>
      </w:r>
    </w:p>
    <w:p w:rsidR="00675502" w:rsidRDefault="00675502" w:rsidP="00C66B37">
      <w:pPr>
        <w:pStyle w:val="APA"/>
      </w:pPr>
      <w:r>
        <w:t xml:space="preserve">4. </w:t>
      </w:r>
      <w:r w:rsidR="00032DDA">
        <w:t xml:space="preserve"> This will greatly impact the world of nursing.  For one, there may be an increase in a communication barrier related to different languages.  Each ra</w:t>
      </w:r>
      <w:r w:rsidR="00C266A1">
        <w:t>ce/ethnicity has a</w:t>
      </w:r>
      <w:r w:rsidR="00032DDA">
        <w:t xml:space="preserve"> different wa</w:t>
      </w:r>
      <w:r w:rsidR="00C266A1">
        <w:t>y</w:t>
      </w:r>
      <w:r w:rsidR="00032DDA">
        <w:t xml:space="preserve"> of coping, celebrating, and thriving.  When other non-white ethnicities grow to be a larger number that is more to know and learn as nurses who come into contact with each different ethnicity. </w:t>
      </w:r>
    </w:p>
    <w:p w:rsidR="00032DDA" w:rsidRDefault="00032DDA" w:rsidP="00C66B37">
      <w:pPr>
        <w:pStyle w:val="APA"/>
      </w:pPr>
      <w:r>
        <w:t xml:space="preserve">5.  My mother was born in Fairchild, WA and my father was born in Hopedale, IL.  My mother’s mother was born in Billings, MT and her father was born in Carterville, IL in his own home.  My father’s mother was also born in her own home but in Hopedale, IL.  I do not know where my biological grandfather was born.  </w:t>
      </w:r>
      <w:r w:rsidR="00C52039">
        <w:t xml:space="preserve">I have one sister.  I keep in contact with all of my grandparents and my aunts and uncles but it is hard to keep up with all of my cousins.  My father changed his name when he was 13 because his step father was more of a real father than his </w:t>
      </w:r>
      <w:r w:rsidR="00C52039">
        <w:lastRenderedPageBreak/>
        <w:t xml:space="preserve">biological father was.  I also had a name change when I got married.  My husband is the same ethnicity as myself.  I would not say I’m very religious but do belong to a church but hardly even attend anymore.  </w:t>
      </w:r>
    </w:p>
    <w:p w:rsidR="00C52039" w:rsidRDefault="00C52039" w:rsidP="00C66B37">
      <w:pPr>
        <w:pStyle w:val="APA"/>
      </w:pPr>
      <w:r>
        <w:t xml:space="preserve">6. </w:t>
      </w:r>
      <w:r w:rsidR="0091779F">
        <w:t xml:space="preserve">Asking for help in </w:t>
      </w:r>
      <w:commentRangeStart w:id="8"/>
      <w:r w:rsidR="0091779F">
        <w:t xml:space="preserve">understanding the client’s cultural components as needed.  </w:t>
      </w:r>
      <w:commentRangeEnd w:id="8"/>
      <w:r w:rsidR="00294C0A">
        <w:rPr>
          <w:rStyle w:val="CommentReference"/>
        </w:rPr>
        <w:commentReference w:id="8"/>
      </w:r>
    </w:p>
    <w:p w:rsidR="0091779F" w:rsidRDefault="0091779F" w:rsidP="00C66B37">
      <w:pPr>
        <w:pStyle w:val="APA"/>
      </w:pPr>
      <w:r>
        <w:t xml:space="preserve">7. </w:t>
      </w:r>
      <w:r w:rsidR="000F7C48">
        <w:t xml:space="preserve"> It is important to know that different cultures to communicate in different ways for examples, some Hispanics like to be very close to you when talking while some Asians like to have more distance.  While some Asians find is disrespectful to maintain eye contact, Americans find it disrespectful to avoid eye contact.  Even when it comes to showing our emotions some cultures like the British are taught not to show emotional expressions.   Body movements is another aspect of communication that varies so much depending on culture, for instance, in America we use a lot of body movements while talking, however some Chinese cultures find it to be rude or disrespectful</w:t>
      </w:r>
      <w:r w:rsidR="00C266A1">
        <w:t xml:space="preserve"> </w:t>
      </w:r>
      <w:bookmarkStart w:id="9" w:name="C410134012268518I0T410134504398148"/>
      <w:r w:rsidR="00C266A1">
        <w:t>(</w:t>
      </w:r>
      <w:proofErr w:type="spellStart"/>
      <w:r w:rsidR="00C266A1">
        <w:t>Talmantes</w:t>
      </w:r>
      <w:proofErr w:type="spellEnd"/>
      <w:r w:rsidR="00C266A1">
        <w:t>, Lindeman, &amp; Mouton, 2001)</w:t>
      </w:r>
      <w:bookmarkEnd w:id="9"/>
      <w:r w:rsidR="000F7C48">
        <w:t xml:space="preserve">.  </w:t>
      </w:r>
    </w:p>
    <w:p w:rsidR="00850C75" w:rsidRDefault="00177D94" w:rsidP="00C66B37">
      <w:pPr>
        <w:pStyle w:val="APA"/>
      </w:pPr>
      <w:r>
        <w:t xml:space="preserve">8. </w:t>
      </w:r>
      <w:r w:rsidR="00DB5721">
        <w:t xml:space="preserve"> This video did a great job of showing how frustrating it can be to speak a different language than your health care providers. </w:t>
      </w:r>
      <w:r w:rsidR="00047C4B">
        <w:t xml:space="preserve"> The patient was not able to tell the providers what exactly is going on and that can dangerously affect the treatment he receives.  It is so important to do everything we can to have someone to interpret. </w:t>
      </w:r>
    </w:p>
    <w:p w:rsidR="00177D94" w:rsidRDefault="00850C75" w:rsidP="00C66B37">
      <w:pPr>
        <w:pStyle w:val="APA"/>
      </w:pPr>
      <w:r>
        <w:t xml:space="preserve">1. </w:t>
      </w:r>
      <w:proofErr w:type="spellStart"/>
      <w:r w:rsidR="00DA49DF">
        <w:t>Ethnogeriatrics</w:t>
      </w:r>
      <w:proofErr w:type="spellEnd"/>
      <w:r w:rsidR="00DA49DF">
        <w:t xml:space="preserve">: a specialty that has emphasis on the elderly, and ethnicity (McBride, 2010). </w:t>
      </w:r>
    </w:p>
    <w:p w:rsidR="00743C63" w:rsidRDefault="00DA49DF" w:rsidP="00743C63">
      <w:pPr>
        <w:pStyle w:val="APA"/>
      </w:pPr>
      <w:r>
        <w:t>2. Hispanic countries include: Mexican American, Puerto Rican, Cuban, and Centr</w:t>
      </w:r>
      <w:bookmarkStart w:id="10" w:name="C410134012268518I0T410134031944444"/>
      <w:r w:rsidR="008562A6">
        <w:t>al/South America (</w:t>
      </w:r>
      <w:proofErr w:type="spellStart"/>
      <w:r w:rsidR="008562A6">
        <w:t>Talmantes</w:t>
      </w:r>
      <w:proofErr w:type="spellEnd"/>
      <w:r w:rsidR="008562A6">
        <w:t>, Lindeman, &amp; Mouton, 2001)</w:t>
      </w:r>
      <w:bookmarkEnd w:id="10"/>
      <w:r w:rsidR="008562A6">
        <w:t>.</w:t>
      </w:r>
    </w:p>
    <w:p w:rsidR="008562A6" w:rsidRDefault="008562A6" w:rsidP="00743C63">
      <w:pPr>
        <w:pStyle w:val="APA"/>
      </w:pPr>
      <w:r>
        <w:t xml:space="preserve">3. </w:t>
      </w:r>
      <w:r w:rsidR="00121844">
        <w:t xml:space="preserve">The level of acculturation entails beliefs, values, and practices.  It is important to know what these are to know how to properly care for your patients </w:t>
      </w:r>
      <w:bookmarkStart w:id="11" w:name="C410133993055556I0T410134136458333"/>
      <w:r w:rsidR="00121844">
        <w:t>(McBride, n.d.)</w:t>
      </w:r>
      <w:bookmarkEnd w:id="11"/>
      <w:r w:rsidR="00121844">
        <w:t xml:space="preserve">.  If you have an </w:t>
      </w:r>
      <w:r w:rsidR="00121844">
        <w:lastRenderedPageBreak/>
        <w:t xml:space="preserve">Asian patient but has lived in America for their whole life and has a high level of acculturation for the American ways, then you wouldn’t want to push particular Asian practices on them.  </w:t>
      </w:r>
    </w:p>
    <w:p w:rsidR="00121844" w:rsidRDefault="00121844" w:rsidP="00121844">
      <w:pPr>
        <w:pStyle w:val="APA"/>
      </w:pPr>
      <w:r>
        <w:t xml:space="preserve">4.  There are two quick ways to determine the level of acculturation and they include: how long they have been in America and what language they speak at home </w:t>
      </w:r>
      <w:bookmarkStart w:id="12" w:name="C410133993055556I0T410134146875000"/>
      <w:r>
        <w:t>(McBride, n.d.)</w:t>
      </w:r>
      <w:bookmarkEnd w:id="12"/>
      <w:r>
        <w:t>.</w:t>
      </w:r>
    </w:p>
    <w:p w:rsidR="00121844" w:rsidRDefault="00121844" w:rsidP="00121844">
      <w:pPr>
        <w:pStyle w:val="APA"/>
      </w:pPr>
      <w:r>
        <w:t xml:space="preserve">5. </w:t>
      </w:r>
      <w:r w:rsidR="001926FB">
        <w:t xml:space="preserve"> Yes, because Brody admits to needing assistance in communicating because Mr. Rivera only speaks Spanish </w:t>
      </w:r>
      <w:bookmarkStart w:id="13" w:name="C410133993055556I0T410134173842593"/>
      <w:r w:rsidR="001926FB">
        <w:t>(McBride, n.d.)</w:t>
      </w:r>
      <w:bookmarkEnd w:id="13"/>
      <w:r w:rsidR="001926FB">
        <w:t xml:space="preserve">. </w:t>
      </w:r>
    </w:p>
    <w:p w:rsidR="001926FB" w:rsidRDefault="001926FB" w:rsidP="00121844">
      <w:pPr>
        <w:pStyle w:val="APA"/>
      </w:pPr>
      <w:r>
        <w:t xml:space="preserve">6. For successful communication with an elderly Hispanic/Latino it is important to know that you should address the patient by their last name, know that they may nod their head “yes” but may not really understand what you are saying, and know that questioning of authority may be considered unacceptable </w:t>
      </w:r>
      <w:bookmarkStart w:id="14" w:name="C410134012268518I0T410134222569444"/>
      <w:r>
        <w:t>(</w:t>
      </w:r>
      <w:proofErr w:type="spellStart"/>
      <w:r>
        <w:t>Talmantes</w:t>
      </w:r>
      <w:proofErr w:type="spellEnd"/>
      <w:r>
        <w:t xml:space="preserve"> et al., </w:t>
      </w:r>
      <w:commentRangeStart w:id="15"/>
      <w:r>
        <w:t>2001</w:t>
      </w:r>
      <w:commentRangeEnd w:id="15"/>
      <w:r w:rsidR="00294C0A">
        <w:rPr>
          <w:rStyle w:val="CommentReference"/>
        </w:rPr>
        <w:commentReference w:id="15"/>
      </w:r>
      <w:r>
        <w:t>)</w:t>
      </w:r>
      <w:bookmarkEnd w:id="14"/>
      <w:r>
        <w:t xml:space="preserve">. </w:t>
      </w:r>
    </w:p>
    <w:p w:rsidR="001926FB" w:rsidRDefault="001926FB" w:rsidP="001926FB">
      <w:pPr>
        <w:pStyle w:val="APA"/>
      </w:pPr>
      <w:r>
        <w:t xml:space="preserve">7. </w:t>
      </w:r>
      <w:proofErr w:type="spellStart"/>
      <w:r>
        <w:t>Familismo</w:t>
      </w:r>
      <w:proofErr w:type="spellEnd"/>
      <w:r>
        <w:t xml:space="preserve"> is the importance of family.  </w:t>
      </w:r>
      <w:proofErr w:type="spellStart"/>
      <w:r>
        <w:t>Personalismo</w:t>
      </w:r>
      <w:proofErr w:type="spellEnd"/>
      <w:r>
        <w:t xml:space="preserve"> is </w:t>
      </w:r>
      <w:r w:rsidR="0081302F">
        <w:t xml:space="preserve">showing mutual respect.  </w:t>
      </w:r>
      <w:proofErr w:type="spellStart"/>
      <w:r w:rsidR="0081302F">
        <w:t>Jerarquismo</w:t>
      </w:r>
      <w:proofErr w:type="spellEnd"/>
      <w:r w:rsidR="0081302F">
        <w:t xml:space="preserve"> is the respect for hierarchy.  </w:t>
      </w:r>
      <w:proofErr w:type="spellStart"/>
      <w:r w:rsidR="0081302F">
        <w:t>Presentismo</w:t>
      </w:r>
      <w:proofErr w:type="spellEnd"/>
      <w:r w:rsidR="0081302F">
        <w:t xml:space="preserve"> is important on the present.  </w:t>
      </w:r>
      <w:proofErr w:type="spellStart"/>
      <w:r w:rsidR="0081302F">
        <w:t>Espiritismo</w:t>
      </w:r>
      <w:proofErr w:type="spellEnd"/>
      <w:r w:rsidR="0081302F">
        <w:t xml:space="preserve"> is the belief of spirits and how they can effect well being along with the spirit of the dead </w:t>
      </w:r>
      <w:bookmarkStart w:id="16" w:name="C410134012268518I0T410134265277778"/>
      <w:r w:rsidR="0081302F">
        <w:t>(</w:t>
      </w:r>
      <w:proofErr w:type="spellStart"/>
      <w:r w:rsidR="0081302F">
        <w:t>Talmantes</w:t>
      </w:r>
      <w:proofErr w:type="spellEnd"/>
      <w:r w:rsidR="0081302F">
        <w:t xml:space="preserve"> et al., 2001)</w:t>
      </w:r>
      <w:bookmarkEnd w:id="16"/>
      <w:r w:rsidR="0081302F">
        <w:t xml:space="preserve">. </w:t>
      </w:r>
    </w:p>
    <w:p w:rsidR="00C266A1" w:rsidRDefault="0081302F" w:rsidP="00C266A1">
      <w:pPr>
        <w:pStyle w:val="APA"/>
      </w:pPr>
      <w:r>
        <w:t xml:space="preserve">8.  A </w:t>
      </w:r>
      <w:proofErr w:type="spellStart"/>
      <w:r>
        <w:t>Curandero</w:t>
      </w:r>
      <w:proofErr w:type="spellEnd"/>
      <w:r>
        <w:t xml:space="preserve"> severs </w:t>
      </w:r>
      <w:proofErr w:type="gramStart"/>
      <w:r>
        <w:t>an a</w:t>
      </w:r>
      <w:proofErr w:type="gramEnd"/>
      <w:r>
        <w:t xml:space="preserve"> general </w:t>
      </w:r>
      <w:r w:rsidR="00CE5644">
        <w:t xml:space="preserve">practitioner.   St. Johns </w:t>
      </w:r>
      <w:proofErr w:type="spellStart"/>
      <w:r w:rsidR="00CE5644">
        <w:t>Wort</w:t>
      </w:r>
      <w:proofErr w:type="spellEnd"/>
      <w:r w:rsidR="00CE5644">
        <w:t xml:space="preserve"> and Kava-kava are two common herbs used for depression </w:t>
      </w:r>
      <w:bookmarkStart w:id="17" w:name="C410134012268518I0T410134369328704"/>
      <w:r w:rsidR="00CE5644">
        <w:t>(</w:t>
      </w:r>
      <w:proofErr w:type="spellStart"/>
      <w:r w:rsidR="00CE5644">
        <w:t>Talmantes</w:t>
      </w:r>
      <w:proofErr w:type="spellEnd"/>
      <w:r w:rsidR="00CE5644">
        <w:t xml:space="preserve"> et al., 2001)</w:t>
      </w:r>
      <w:bookmarkEnd w:id="17"/>
      <w:r w:rsidR="00CE5644">
        <w:t xml:space="preserve">. </w:t>
      </w:r>
    </w:p>
    <w:p w:rsidR="00C266A1" w:rsidRDefault="00C266A1" w:rsidP="00C266A1">
      <w:pPr>
        <w:pStyle w:val="APAHeadingCenter"/>
      </w:pPr>
      <w:r>
        <w:br w:type="page"/>
      </w:r>
      <w:r>
        <w:lastRenderedPageBreak/>
        <w:t>References</w:t>
      </w:r>
    </w:p>
    <w:p w:rsidR="00C266A1" w:rsidRDefault="00C266A1" w:rsidP="00C266A1">
      <w:pPr>
        <w:pStyle w:val="APAReference"/>
      </w:pPr>
      <w:bookmarkStart w:id="18" w:name="R410134507986111I0"/>
      <w:r>
        <w:t xml:space="preserve">Kaiser Family Foundation. </w:t>
      </w:r>
      <w:proofErr w:type="gramStart"/>
      <w:r>
        <w:t xml:space="preserve">(2010). </w:t>
      </w:r>
      <w:r w:rsidRPr="00C266A1">
        <w:rPr>
          <w:i/>
        </w:rPr>
        <w:t>Distribution of U.S. population by race/ethnicity, 2010 and 2050.</w:t>
      </w:r>
      <w:proofErr w:type="gramEnd"/>
      <w:r>
        <w:t xml:space="preserve">  Retrieved from http://facts.kff.org/chart.aspx?ch=364</w:t>
      </w:r>
      <w:bookmarkEnd w:id="18"/>
    </w:p>
    <w:p w:rsidR="00C266A1" w:rsidRDefault="00C266A1" w:rsidP="00C266A1">
      <w:pPr>
        <w:pStyle w:val="APAReference"/>
      </w:pPr>
      <w:bookmarkStart w:id="19" w:name="R410133993055556I0"/>
      <w:proofErr w:type="gramStart"/>
      <w:r>
        <w:t>McBride, M. (n.d.).</w:t>
      </w:r>
      <w:proofErr w:type="gramEnd"/>
      <w:r>
        <w:t xml:space="preserve"> </w:t>
      </w:r>
      <w:proofErr w:type="spellStart"/>
      <w:proofErr w:type="gramStart"/>
      <w:r>
        <w:rPr>
          <w:i/>
        </w:rPr>
        <w:t>Ethnogeriatrics</w:t>
      </w:r>
      <w:proofErr w:type="spellEnd"/>
      <w:r>
        <w:rPr>
          <w:i/>
        </w:rPr>
        <w:t xml:space="preserve"> and cultural competence for nursing practice.</w:t>
      </w:r>
      <w:proofErr w:type="gramEnd"/>
      <w:r>
        <w:rPr>
          <w:i/>
        </w:rPr>
        <w:t xml:space="preserve">  </w:t>
      </w:r>
      <w:proofErr w:type="gramStart"/>
      <w:r>
        <w:t>Hartford Institute for Geriatric Nursing.</w:t>
      </w:r>
      <w:proofErr w:type="gramEnd"/>
      <w:r>
        <w:t xml:space="preserve">  Retrieved from http://consultgerirn.org/topics/ethnogeriatrics_and_cultural_competence_for_nursing_practice/want_to_know_more#item_2</w:t>
      </w:r>
      <w:bookmarkEnd w:id="19"/>
    </w:p>
    <w:p w:rsidR="00CE5644" w:rsidRPr="00C266A1" w:rsidRDefault="00C266A1" w:rsidP="00C266A1">
      <w:pPr>
        <w:pStyle w:val="APAReference"/>
      </w:pPr>
      <w:bookmarkStart w:id="20" w:name="R410134012268518I0"/>
      <w:proofErr w:type="spellStart"/>
      <w:proofErr w:type="gramStart"/>
      <w:r>
        <w:t>Talmantes</w:t>
      </w:r>
      <w:proofErr w:type="spellEnd"/>
      <w:r>
        <w:t>, M., Lindeman, R., &amp; Mouton, C. (2001).</w:t>
      </w:r>
      <w:proofErr w:type="gramEnd"/>
      <w:r>
        <w:t xml:space="preserve"> </w:t>
      </w:r>
      <w:r>
        <w:rPr>
          <w:i/>
        </w:rPr>
        <w:t xml:space="preserve">Health and health care of Hispanic/Latino American elders </w:t>
      </w:r>
      <w:r>
        <w:t xml:space="preserve">(2nd </w:t>
      </w:r>
      <w:proofErr w:type="gramStart"/>
      <w:r>
        <w:t>ed</w:t>
      </w:r>
      <w:proofErr w:type="gramEnd"/>
      <w:r>
        <w:t xml:space="preserve">.).  </w:t>
      </w:r>
      <w:proofErr w:type="spellStart"/>
      <w:proofErr w:type="gramStart"/>
      <w:r>
        <w:t>Standford</w:t>
      </w:r>
      <w:proofErr w:type="spellEnd"/>
      <w:r>
        <w:t xml:space="preserve"> Geriatric Center.</w:t>
      </w:r>
      <w:proofErr w:type="gramEnd"/>
      <w:r>
        <w:t xml:space="preserve">   Retrieved from http://consultgerirn.org/topics/ethnogeriatrics_and_cultural_competence_for_nursing_practice/want_to_know_more#item_2</w:t>
      </w:r>
      <w:bookmarkEnd w:id="20"/>
    </w:p>
    <w:sectPr w:rsidR="00CE5644" w:rsidRPr="00C266A1" w:rsidSect="00C66B37">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4-19T06:52:00Z" w:initials="M">
    <w:p w:rsidR="00294C0A" w:rsidRDefault="00294C0A">
      <w:pPr>
        <w:pStyle w:val="CommentText"/>
      </w:pPr>
      <w:r>
        <w:rPr>
          <w:rStyle w:val="CommentReference"/>
        </w:rPr>
        <w:annotationRef/>
      </w:r>
      <w:r>
        <w:t>Answer is C &amp; D</w:t>
      </w:r>
    </w:p>
  </w:comment>
  <w:comment w:id="15" w:author="Mary" w:date="2012-04-19T06:54:00Z" w:initials="M">
    <w:p w:rsidR="00294C0A" w:rsidRDefault="00294C0A" w:rsidP="00294C0A">
      <w:pPr>
        <w:overflowPunct/>
        <w:textAlignment w:val="auto"/>
        <w:rPr>
          <w:rFonts w:ascii="ITCGaramondStd-Bk" w:hAnsi="ITCGaramondStd-Bk" w:cs="ITCGaramondStd-Bk"/>
        </w:rPr>
      </w:pPr>
      <w:r>
        <w:rPr>
          <w:rStyle w:val="CommentReference"/>
        </w:rPr>
        <w:annotationRef/>
      </w:r>
      <w:r w:rsidRPr="00294C0A">
        <w:rPr>
          <w:rFonts w:ascii="ITCGaramondStd-Bk" w:hAnsi="ITCGaramondStd-Bk" w:cs="ITCGaramondStd-Bk"/>
          <w:b/>
        </w:rPr>
        <w:t>Answers B, C, and D are</w:t>
      </w:r>
      <w:r>
        <w:rPr>
          <w:rFonts w:ascii="ITCGaramondStd-Bk" w:hAnsi="ITCGaramondStd-Bk" w:cs="ITCGaramondStd-Bk"/>
        </w:rPr>
        <w:t xml:space="preserve"> correct. Using hand gestures is not recommended as they</w:t>
      </w:r>
    </w:p>
    <w:p w:rsidR="00294C0A" w:rsidRDefault="00294C0A" w:rsidP="00294C0A">
      <w:pPr>
        <w:pStyle w:val="CommentText"/>
      </w:pPr>
      <w:proofErr w:type="gramStart"/>
      <w:r>
        <w:rPr>
          <w:rFonts w:ascii="ITCGaramondStd-Bk" w:hAnsi="ITCGaramondStd-Bk" w:cs="ITCGaramondStd-Bk"/>
        </w:rPr>
        <w:t>may</w:t>
      </w:r>
      <w:proofErr w:type="gramEnd"/>
      <w:r>
        <w:rPr>
          <w:rFonts w:ascii="ITCGaramondStd-Bk" w:hAnsi="ITCGaramondStd-Bk" w:cs="ITCGaramondStd-Bk"/>
        </w:rPr>
        <w:t xml:space="preserve"> be interpreted differently (offensively) in another culture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D3" w:rsidRDefault="00485DD3">
      <w:r>
        <w:separator/>
      </w:r>
    </w:p>
  </w:endnote>
  <w:endnote w:type="continuationSeparator" w:id="0">
    <w:p w:rsidR="00485DD3" w:rsidRDefault="00485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1" w:rsidRDefault="00D23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1" w:rsidRDefault="00D23C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1" w:rsidRDefault="00D23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D3" w:rsidRDefault="00485DD3">
      <w:r>
        <w:separator/>
      </w:r>
    </w:p>
  </w:footnote>
  <w:footnote w:type="continuationSeparator" w:id="0">
    <w:p w:rsidR="00485DD3" w:rsidRDefault="00485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1" w:rsidRDefault="00D23C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C66B37" w:rsidRDefault="00C66B37" w:rsidP="00C66B37">
    <w:pPr>
      <w:pStyle w:val="APAPageHeading"/>
    </w:pPr>
    <w:r>
      <w:t>18.1 &amp; 18.2</w:t>
    </w:r>
    <w:r>
      <w:tab/>
    </w:r>
    <w:fldSimple w:instr=" PAGE  \* MERGEFORMAT ">
      <w:r w:rsidR="00294C0A">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C66B37" w:rsidRDefault="00C66B37" w:rsidP="00C66B37">
    <w:pPr>
      <w:pStyle w:val="APAPageHeading"/>
    </w:pPr>
    <w:r>
      <w:t>Running head: 18.1 &amp; 18.2</w:t>
    </w:r>
    <w:r>
      <w:tab/>
    </w:r>
    <w:fldSimple w:instr=" PAGE  \* MERGEFORMAT ">
      <w:r w:rsidR="00294C0A">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37" w:rsidRPr="00C66B37" w:rsidRDefault="00C66B37" w:rsidP="00C66B37">
    <w:pPr>
      <w:pStyle w:val="APAPageHeading"/>
    </w:pPr>
    <w:r>
      <w:t>18.1 &amp; 18.2</w:t>
    </w:r>
    <w:r>
      <w:tab/>
    </w:r>
    <w:fldSimple w:instr=" PAGE  \* MERGEFORMAT ">
      <w:r w:rsidR="00294C0A">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410133993055556I0" w:val="*1,262˜11M~~McBride~˜1203n.d.˜13Ethnogeriatrics and cultural competence for nursing practice.  ˜2701˜1112˜112http://consultgerirn.org/topics/ethnogeriatrics_and_cultural_competence_for_nursing_practice/want_to_know_more#item_2˜"/>
    <w:docVar w:name="410134012268518I0" w:val="*1,262˜11M~~Talmantes~R~~Lindeman~C~~Mouton~˜12032001˜13Health and health care of Hispanic/Latino American elders (2nd ed.)˜2701˜1112˜112http://consultgerirn.org/topics/ethnogeriatrics_and_cultural_competence_for_nursing_practice/want_to_know_more#item_2˜"/>
    <w:docVar w:name="410134507986111I0" w:val="*1,370˜118Kaiser Family FOundation˜2880˜1233˜12032010˜13Distribution of U.S. population by race.ethnicity, 2010 and 2050˜2701˜1112˜112http://facts.kff.org/chart.aspx?ch=364˜"/>
    <w:docVar w:name="bmHeaderInfo" w:val="18.1 &amp; 18.2"/>
    <w:docVar w:name="cIsAbstract" w:val="False"/>
    <w:docVar w:name="cPaperAPAOrMLA" w:val="1"/>
    <w:docVar w:name="cUniquePaperID" w:val="410125566782407I0"/>
    <w:docVar w:name="LastEditedVersion" w:val="5"/>
  </w:docVars>
  <w:rsids>
    <w:rsidRoot w:val="00603C2F"/>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2DDA"/>
    <w:rsid w:val="00033E75"/>
    <w:rsid w:val="00034E5C"/>
    <w:rsid w:val="00035FF6"/>
    <w:rsid w:val="00040203"/>
    <w:rsid w:val="000428F1"/>
    <w:rsid w:val="00043377"/>
    <w:rsid w:val="000455A3"/>
    <w:rsid w:val="00045BCD"/>
    <w:rsid w:val="00047B6B"/>
    <w:rsid w:val="00047C4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B7DC6"/>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0F7C48"/>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44"/>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6CE6"/>
    <w:rsid w:val="0016796B"/>
    <w:rsid w:val="001717AD"/>
    <w:rsid w:val="0017576B"/>
    <w:rsid w:val="00176C2C"/>
    <w:rsid w:val="00177D94"/>
    <w:rsid w:val="00182674"/>
    <w:rsid w:val="00183914"/>
    <w:rsid w:val="001872ED"/>
    <w:rsid w:val="00191F44"/>
    <w:rsid w:val="001926FB"/>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3D22"/>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4C0A"/>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13C3"/>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85DD3"/>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3C2F"/>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5502"/>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6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02F"/>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C75"/>
    <w:rsid w:val="00850D81"/>
    <w:rsid w:val="0085113E"/>
    <w:rsid w:val="00852790"/>
    <w:rsid w:val="00852ED3"/>
    <w:rsid w:val="00854C2F"/>
    <w:rsid w:val="0085567D"/>
    <w:rsid w:val="008562A6"/>
    <w:rsid w:val="00856D80"/>
    <w:rsid w:val="00857230"/>
    <w:rsid w:val="0085783D"/>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1779F"/>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2B67"/>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266A1"/>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039"/>
    <w:rsid w:val="00C521C5"/>
    <w:rsid w:val="00C53BCD"/>
    <w:rsid w:val="00C53F13"/>
    <w:rsid w:val="00C56F87"/>
    <w:rsid w:val="00C60799"/>
    <w:rsid w:val="00C634CE"/>
    <w:rsid w:val="00C65C17"/>
    <w:rsid w:val="00C66B3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5644"/>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CF1"/>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DF"/>
    <w:rsid w:val="00DA49E0"/>
    <w:rsid w:val="00DA5739"/>
    <w:rsid w:val="00DB4050"/>
    <w:rsid w:val="00DB5721"/>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3C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13C3"/>
    <w:pPr>
      <w:tabs>
        <w:tab w:val="center" w:pos="4320"/>
        <w:tab w:val="right" w:pos="8640"/>
      </w:tabs>
    </w:pPr>
  </w:style>
  <w:style w:type="paragraph" w:customStyle="1" w:styleId="APA">
    <w:name w:val="APA"/>
    <w:basedOn w:val="BodyText"/>
    <w:rsid w:val="004413C3"/>
    <w:pPr>
      <w:spacing w:after="0" w:line="480" w:lineRule="auto"/>
      <w:ind w:firstLine="720"/>
    </w:pPr>
    <w:rPr>
      <w:sz w:val="24"/>
    </w:rPr>
  </w:style>
  <w:style w:type="paragraph" w:styleId="BodyText">
    <w:name w:val="Body Text"/>
    <w:basedOn w:val="Normal"/>
    <w:rsid w:val="004413C3"/>
    <w:pPr>
      <w:spacing w:after="120"/>
    </w:pPr>
  </w:style>
  <w:style w:type="paragraph" w:styleId="Footer">
    <w:name w:val="footer"/>
    <w:basedOn w:val="Normal"/>
    <w:rsid w:val="004413C3"/>
    <w:pPr>
      <w:tabs>
        <w:tab w:val="center" w:pos="4320"/>
        <w:tab w:val="right" w:pos="8640"/>
      </w:tabs>
    </w:pPr>
  </w:style>
  <w:style w:type="character" w:styleId="PageNumber">
    <w:name w:val="page number"/>
    <w:basedOn w:val="DefaultParagraphFont"/>
    <w:rsid w:val="004413C3"/>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4413C3"/>
    <w:pPr>
      <w:ind w:left="720" w:firstLine="0"/>
    </w:pPr>
  </w:style>
  <w:style w:type="paragraph" w:customStyle="1" w:styleId="APABlockQuoteSubsequentPara">
    <w:name w:val="APA Block Quote Subsequent Para"/>
    <w:basedOn w:val="APA"/>
    <w:next w:val="APA"/>
    <w:rsid w:val="004413C3"/>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413C3"/>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413C3"/>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table" w:styleId="TableGrid">
    <w:name w:val="Table Grid"/>
    <w:basedOn w:val="TableNormal"/>
    <w:rsid w:val="00675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94C0A"/>
    <w:rPr>
      <w:sz w:val="16"/>
      <w:szCs w:val="16"/>
    </w:rPr>
  </w:style>
  <w:style w:type="paragraph" w:styleId="CommentText">
    <w:name w:val="annotation text"/>
    <w:basedOn w:val="Normal"/>
    <w:link w:val="CommentTextChar"/>
    <w:rsid w:val="00294C0A"/>
  </w:style>
  <w:style w:type="character" w:customStyle="1" w:styleId="CommentTextChar">
    <w:name w:val="Comment Text Char"/>
    <w:basedOn w:val="DefaultParagraphFont"/>
    <w:link w:val="CommentText"/>
    <w:rsid w:val="00294C0A"/>
  </w:style>
  <w:style w:type="paragraph" w:styleId="CommentSubject">
    <w:name w:val="annotation subject"/>
    <w:basedOn w:val="CommentText"/>
    <w:next w:val="CommentText"/>
    <w:link w:val="CommentSubjectChar"/>
    <w:rsid w:val="00294C0A"/>
    <w:rPr>
      <w:b/>
      <w:bCs/>
    </w:rPr>
  </w:style>
  <w:style w:type="character" w:customStyle="1" w:styleId="CommentSubjectChar">
    <w:name w:val="Comment Subject Char"/>
    <w:basedOn w:val="CommentTextChar"/>
    <w:link w:val="CommentSubject"/>
    <w:rsid w:val="00294C0A"/>
    <w:rPr>
      <w:b/>
      <w:bCs/>
    </w:rPr>
  </w:style>
  <w:style w:type="paragraph" w:styleId="BalloonText">
    <w:name w:val="Balloon Text"/>
    <w:basedOn w:val="Normal"/>
    <w:link w:val="BalloonTextChar"/>
    <w:rsid w:val="00294C0A"/>
    <w:rPr>
      <w:rFonts w:ascii="Tahoma" w:hAnsi="Tahoma" w:cs="Tahoma"/>
      <w:sz w:val="16"/>
      <w:szCs w:val="16"/>
    </w:rPr>
  </w:style>
  <w:style w:type="character" w:customStyle="1" w:styleId="BalloonTextChar">
    <w:name w:val="Balloon Text Char"/>
    <w:basedOn w:val="DefaultParagraphFont"/>
    <w:link w:val="BalloonText"/>
    <w:rsid w:val="00294C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7</TotalTime>
  <Pages>5</Pages>
  <Words>761</Words>
  <Characters>4343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Chelsea</dc:creator>
  <cp:lastModifiedBy>Mary</cp:lastModifiedBy>
  <cp:revision>2</cp:revision>
  <dcterms:created xsi:type="dcterms:W3CDTF">2012-04-19T11:56:00Z</dcterms:created>
  <dcterms:modified xsi:type="dcterms:W3CDTF">2012-04-19T11:56:00Z</dcterms:modified>
</cp:coreProperties>
</file>