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83" w:rsidRPr="006E42F9" w:rsidRDefault="00233783" w:rsidP="00076AFF">
      <w:pPr>
        <w:spacing w:line="480" w:lineRule="auto"/>
        <w:rPr>
          <w:rFonts w:ascii="Times New Roman" w:hAnsi="Times New Roman" w:cs="Times New Roman"/>
          <w:sz w:val="24"/>
          <w:szCs w:val="24"/>
        </w:rPr>
      </w:pPr>
      <w:r w:rsidRPr="006E42F9">
        <w:rPr>
          <w:rFonts w:ascii="Times New Roman" w:hAnsi="Times New Roman" w:cs="Times New Roman"/>
          <w:sz w:val="24"/>
          <w:szCs w:val="24"/>
        </w:rPr>
        <w:t xml:space="preserve">Case Studies </w:t>
      </w:r>
      <w:r w:rsidR="008C21FB">
        <w:rPr>
          <w:rFonts w:ascii="Times New Roman" w:hAnsi="Times New Roman" w:cs="Times New Roman"/>
          <w:sz w:val="24"/>
          <w:szCs w:val="24"/>
        </w:rPr>
        <w:t>14.3</w:t>
      </w:r>
    </w:p>
    <w:p w:rsidR="002C00D5" w:rsidRPr="006E42F9" w:rsidRDefault="00076AFF" w:rsidP="00076AFF">
      <w:pPr>
        <w:spacing w:line="480" w:lineRule="auto"/>
        <w:rPr>
          <w:rFonts w:ascii="Times New Roman" w:hAnsi="Times New Roman" w:cs="Times New Roman"/>
          <w:sz w:val="24"/>
          <w:szCs w:val="24"/>
        </w:rPr>
      </w:pPr>
      <w:r w:rsidRPr="006E42F9">
        <w:rPr>
          <w:rFonts w:ascii="Times New Roman" w:hAnsi="Times New Roman" w:cs="Times New Roman"/>
          <w:sz w:val="24"/>
          <w:szCs w:val="24"/>
        </w:rPr>
        <w:t>N309 – Nursing of the Gerontological Client</w:t>
      </w:r>
    </w:p>
    <w:p w:rsidR="002C00D5" w:rsidRPr="006E42F9" w:rsidRDefault="008C21FB" w:rsidP="00076AFF">
      <w:pPr>
        <w:spacing w:line="480" w:lineRule="auto"/>
        <w:rPr>
          <w:rFonts w:ascii="Times New Roman" w:hAnsi="Times New Roman" w:cs="Times New Roman"/>
          <w:sz w:val="24"/>
          <w:szCs w:val="24"/>
        </w:rPr>
      </w:pPr>
      <w:r>
        <w:rPr>
          <w:rFonts w:ascii="Times New Roman" w:hAnsi="Times New Roman" w:cs="Times New Roman"/>
          <w:sz w:val="24"/>
          <w:szCs w:val="24"/>
        </w:rPr>
        <w:t>March 11, 2012</w:t>
      </w:r>
    </w:p>
    <w:p w:rsidR="00076AFF" w:rsidRPr="006E42F9" w:rsidRDefault="002C00D5" w:rsidP="00076AFF">
      <w:pPr>
        <w:spacing w:line="480" w:lineRule="auto"/>
        <w:rPr>
          <w:rFonts w:ascii="Times New Roman" w:hAnsi="Times New Roman" w:cs="Times New Roman"/>
          <w:sz w:val="24"/>
          <w:szCs w:val="24"/>
        </w:rPr>
      </w:pPr>
      <w:r w:rsidRPr="006E42F9">
        <w:rPr>
          <w:rFonts w:ascii="Times New Roman" w:hAnsi="Times New Roman" w:cs="Times New Roman"/>
          <w:sz w:val="24"/>
          <w:szCs w:val="24"/>
        </w:rPr>
        <w:t>Carla Low</w:t>
      </w:r>
    </w:p>
    <w:p w:rsidR="00076AFF" w:rsidRPr="006E42F9" w:rsidRDefault="00076AFF">
      <w:pPr>
        <w:rPr>
          <w:rFonts w:ascii="Times New Roman" w:hAnsi="Times New Roman" w:cs="Times New Roman"/>
          <w:sz w:val="24"/>
          <w:szCs w:val="24"/>
        </w:rPr>
      </w:pPr>
      <w:r w:rsidRPr="006E42F9">
        <w:rPr>
          <w:rFonts w:ascii="Times New Roman" w:hAnsi="Times New Roman" w:cs="Times New Roman"/>
          <w:sz w:val="24"/>
          <w:szCs w:val="24"/>
        </w:rPr>
        <w:br w:type="page"/>
      </w:r>
    </w:p>
    <w:p w:rsidR="00076AFF" w:rsidRPr="006E42F9" w:rsidRDefault="00076AFF" w:rsidP="00076AFF">
      <w:pPr>
        <w:spacing w:line="480" w:lineRule="auto"/>
        <w:rPr>
          <w:rFonts w:ascii="Times New Roman" w:hAnsi="Times New Roman" w:cs="Times New Roman"/>
          <w:sz w:val="24"/>
          <w:szCs w:val="24"/>
        </w:rPr>
        <w:sectPr w:rsidR="00076AFF" w:rsidRPr="006E42F9" w:rsidSect="00076AF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2"/>
          <w:cols w:space="720"/>
          <w:vAlign w:val="center"/>
          <w:titlePg/>
          <w:docGrid w:linePitch="360"/>
        </w:sectPr>
      </w:pPr>
    </w:p>
    <w:p w:rsidR="004C0137" w:rsidRDefault="004C0137" w:rsidP="004C0137">
      <w:pPr>
        <w:tabs>
          <w:tab w:val="left" w:pos="720"/>
          <w:tab w:val="left" w:pos="3405"/>
        </w:tabs>
        <w:spacing w:line="480" w:lineRule="auto"/>
        <w:rPr>
          <w:rFonts w:ascii="Times New Roman" w:hAnsi="Times New Roman" w:cs="Times New Roman"/>
          <w:sz w:val="24"/>
          <w:szCs w:val="24"/>
        </w:rPr>
      </w:pPr>
      <w:r w:rsidRPr="006E42F9">
        <w:rPr>
          <w:rFonts w:ascii="Times New Roman" w:hAnsi="Times New Roman" w:cs="Times New Roman"/>
          <w:sz w:val="24"/>
          <w:szCs w:val="24"/>
        </w:rPr>
        <w:lastRenderedPageBreak/>
        <w:t xml:space="preserve">Case Study </w:t>
      </w:r>
      <w:r w:rsidR="008C21FB">
        <w:rPr>
          <w:rFonts w:ascii="Times New Roman" w:hAnsi="Times New Roman" w:cs="Times New Roman"/>
          <w:sz w:val="24"/>
          <w:szCs w:val="24"/>
        </w:rPr>
        <w:t xml:space="preserve">14.3 – Functional </w:t>
      </w:r>
      <w:commentRangeStart w:id="0"/>
      <w:r w:rsidR="008C21FB">
        <w:rPr>
          <w:rFonts w:ascii="Times New Roman" w:hAnsi="Times New Roman" w:cs="Times New Roman"/>
          <w:sz w:val="24"/>
          <w:szCs w:val="24"/>
        </w:rPr>
        <w:t>Incontinence</w:t>
      </w:r>
      <w:commentRangeEnd w:id="0"/>
      <w:r w:rsidR="00B92B69">
        <w:rPr>
          <w:rStyle w:val="CommentReference"/>
        </w:rPr>
        <w:commentReference w:id="0"/>
      </w:r>
    </w:p>
    <w:p w:rsidR="0051755B" w:rsidRDefault="0051755B" w:rsidP="0051755B">
      <w:p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Functional incontinence occurs when a patient with an otherwise “intact urinary </w:t>
      </w:r>
      <w:commentRangeStart w:id="1"/>
      <w:r>
        <w:rPr>
          <w:rFonts w:ascii="Times New Roman" w:hAnsi="Times New Roman" w:cs="Times New Roman"/>
          <w:sz w:val="24"/>
          <w:szCs w:val="24"/>
        </w:rPr>
        <w:t>physiology</w:t>
      </w:r>
      <w:commentRangeEnd w:id="1"/>
      <w:r w:rsidR="00B92B69">
        <w:rPr>
          <w:rStyle w:val="CommentReference"/>
        </w:rPr>
        <w:commentReference w:id="1"/>
      </w:r>
      <w:r>
        <w:rPr>
          <w:rFonts w:ascii="Times New Roman" w:hAnsi="Times New Roman" w:cs="Times New Roman"/>
          <w:sz w:val="24"/>
          <w:szCs w:val="24"/>
        </w:rPr>
        <w:t xml:space="preserve"> experiences mobility impairment, environmental barriers, or cognitive problems and cannot reach and use the toilet before soiling themselves.” </w:t>
      </w:r>
      <w:sdt>
        <w:sdtPr>
          <w:rPr>
            <w:rFonts w:ascii="Times New Roman" w:hAnsi="Times New Roman" w:cs="Times New Roman"/>
            <w:sz w:val="24"/>
            <w:szCs w:val="24"/>
          </w:rPr>
          <w:id w:val="-506675535"/>
          <w:citation/>
        </w:sdtPr>
        <w:sdtContent>
          <w:r w:rsidR="00DC7DCC">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Sme10 \p 191 \l 1033 </w:instrText>
          </w:r>
          <w:r w:rsidR="00DC7DCC">
            <w:rPr>
              <w:rFonts w:ascii="Times New Roman" w:hAnsi="Times New Roman" w:cs="Times New Roman"/>
              <w:sz w:val="24"/>
              <w:szCs w:val="24"/>
            </w:rPr>
            <w:fldChar w:fldCharType="separate"/>
          </w:r>
          <w:r w:rsidRPr="0051755B">
            <w:rPr>
              <w:rFonts w:ascii="Times New Roman" w:hAnsi="Times New Roman" w:cs="Times New Roman"/>
              <w:noProof/>
              <w:sz w:val="24"/>
              <w:szCs w:val="24"/>
            </w:rPr>
            <w:t>(Smeltzer, Hinkle, Bare, &amp; Cheever, 2010, p. 191)</w:t>
          </w:r>
          <w:r w:rsidR="00DC7DC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Mr. Carson waited to relieve himself until after his daughter left his room and by this point in time, he experienced urgency to urinate but attempted to follow protocol by calling for the nurse. When he received no response to his call light, he attempted to take himself to the restroom. Mr. Carson’s IV pole became tangled and proved to be an obstacle while attempting to reach the bathroom in his haste. It could also be surmised that, if Mr. Carson was in a more traditional hospital room, that the room layout itself proved to be an obstacle that caused him to fall. More traditional hospital rooms are tight and cramped with too much </w:t>
      </w:r>
      <w:r w:rsidR="000D09CA">
        <w:rPr>
          <w:rFonts w:ascii="Times New Roman" w:hAnsi="Times New Roman" w:cs="Times New Roman"/>
          <w:sz w:val="24"/>
          <w:szCs w:val="24"/>
        </w:rPr>
        <w:t xml:space="preserve">furniture and too little space thus they attribute to the fall risk. Additional factors that increased Mr. Carson’s urgency were his sweet tea; </w:t>
      </w:r>
      <w:commentRangeStart w:id="2"/>
      <w:r w:rsidR="000D09CA">
        <w:rPr>
          <w:rFonts w:ascii="Times New Roman" w:hAnsi="Times New Roman" w:cs="Times New Roman"/>
          <w:sz w:val="24"/>
          <w:szCs w:val="24"/>
        </w:rPr>
        <w:t>tea is a natural diuretic</w:t>
      </w:r>
      <w:commentRangeEnd w:id="2"/>
      <w:r w:rsidR="00B92B69">
        <w:rPr>
          <w:rStyle w:val="CommentReference"/>
        </w:rPr>
        <w:commentReference w:id="2"/>
      </w:r>
      <w:r w:rsidR="000D09CA">
        <w:rPr>
          <w:rFonts w:ascii="Times New Roman" w:hAnsi="Times New Roman" w:cs="Times New Roman"/>
          <w:sz w:val="24"/>
          <w:szCs w:val="24"/>
        </w:rPr>
        <w:t xml:space="preserve">. Mr. Carson’s IV fluid itself would have promoted the need to urinate as well. We were not given Mr. Carson’s medications as prescribed during his hospital stay, but it should be assumed that he was placed on an antihypertensive and possibly a diuretic; these medications, if actually prescribed, would have attributed to his need to urinate. </w:t>
      </w:r>
    </w:p>
    <w:p w:rsidR="000D09CA" w:rsidRDefault="000D09CA" w:rsidP="0051755B">
      <w:p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ab/>
        <w:t xml:space="preserve">An indwelling, or Foley, catheter is not in Mr. Carson’s best interests and, instead, is being suggested by the nurse, presumably, for her convenience rather than in the best interests of the patient. A Foley catheter can introduce bacterium and </w:t>
      </w:r>
      <w:commentRangeStart w:id="3"/>
      <w:r>
        <w:rPr>
          <w:rFonts w:ascii="Times New Roman" w:hAnsi="Times New Roman" w:cs="Times New Roman"/>
          <w:sz w:val="24"/>
          <w:szCs w:val="24"/>
        </w:rPr>
        <w:t xml:space="preserve">cause a UTI as </w:t>
      </w:r>
      <w:commentRangeEnd w:id="3"/>
      <w:r w:rsidR="00B92B69">
        <w:rPr>
          <w:rStyle w:val="CommentReference"/>
        </w:rPr>
        <w:commentReference w:id="3"/>
      </w:r>
      <w:r>
        <w:rPr>
          <w:rFonts w:ascii="Times New Roman" w:hAnsi="Times New Roman" w:cs="Times New Roman"/>
          <w:sz w:val="24"/>
          <w:szCs w:val="24"/>
        </w:rPr>
        <w:t xml:space="preserve">well as relaxing the urge to urinate and creating a situation in which Mr. Carson is unable to control his bladder once the catheter has been removed. Mr. Carson could possibly be faced with retraining his bladder or being dependant on an indwelling catheter for the remainder of his life. At Mr. Carson’s age, retraining his bladder would be difficult to do and the process would be frustrating for him as </w:t>
      </w:r>
      <w:r>
        <w:rPr>
          <w:rFonts w:ascii="Times New Roman" w:hAnsi="Times New Roman" w:cs="Times New Roman"/>
          <w:sz w:val="24"/>
          <w:szCs w:val="24"/>
        </w:rPr>
        <w:lastRenderedPageBreak/>
        <w:t>well as a source of embarrassment. This could then prove to be a situation that causes Mr. Carson to so</w:t>
      </w:r>
      <w:r w:rsidR="00E936C8">
        <w:rPr>
          <w:rFonts w:ascii="Times New Roman" w:hAnsi="Times New Roman" w:cs="Times New Roman"/>
          <w:sz w:val="24"/>
          <w:szCs w:val="24"/>
        </w:rPr>
        <w:t xml:space="preserve">cially isolate himself and become depressed as a result. A simple procedure for the convenience of the nurse could, in the long run, shorten Mr. Carson’s life through a cascade of events. </w:t>
      </w:r>
    </w:p>
    <w:p w:rsidR="000635B5" w:rsidRDefault="000635B5" w:rsidP="0051755B">
      <w:p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ab/>
        <w:t>Dowling-</w:t>
      </w:r>
      <w:proofErr w:type="spellStart"/>
      <w:r>
        <w:rPr>
          <w:rFonts w:ascii="Times New Roman" w:hAnsi="Times New Roman" w:cs="Times New Roman"/>
          <w:sz w:val="24"/>
          <w:szCs w:val="24"/>
        </w:rPr>
        <w:t>Castronovo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Bradway</w:t>
      </w:r>
      <w:proofErr w:type="spellEnd"/>
      <w:r>
        <w:rPr>
          <w:rFonts w:ascii="Times New Roman" w:hAnsi="Times New Roman" w:cs="Times New Roman"/>
          <w:sz w:val="24"/>
          <w:szCs w:val="24"/>
        </w:rPr>
        <w:t xml:space="preserve"> (2008) suggest that indwelling catheters be avoided due to the risk for UTIs. </w:t>
      </w:r>
      <w:sdt>
        <w:sdtPr>
          <w:rPr>
            <w:rFonts w:ascii="Times New Roman" w:hAnsi="Times New Roman" w:cs="Times New Roman"/>
            <w:sz w:val="24"/>
            <w:szCs w:val="24"/>
          </w:rPr>
          <w:id w:val="-1005285270"/>
          <w:citation/>
        </w:sdtPr>
        <w:sdtContent>
          <w:r w:rsidR="00DC7DCC">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Dow08 \l 1033 </w:instrText>
          </w:r>
          <w:r w:rsidR="00DC7DCC">
            <w:rPr>
              <w:rFonts w:ascii="Times New Roman" w:hAnsi="Times New Roman" w:cs="Times New Roman"/>
              <w:sz w:val="24"/>
              <w:szCs w:val="24"/>
            </w:rPr>
            <w:fldChar w:fldCharType="separate"/>
          </w:r>
          <w:r w:rsidRPr="000635B5">
            <w:rPr>
              <w:rFonts w:ascii="Times New Roman" w:hAnsi="Times New Roman" w:cs="Times New Roman"/>
              <w:noProof/>
              <w:sz w:val="24"/>
              <w:szCs w:val="24"/>
            </w:rPr>
            <w:t>(Dowling-Castronovo &amp; Bradway, 2008)</w:t>
          </w:r>
          <w:r w:rsidR="00DC7DC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Rather, they recommend that the causes of urinary incontinence (UI) should be identified and treated. </w:t>
      </w:r>
      <w:sdt>
        <w:sdtPr>
          <w:rPr>
            <w:rFonts w:ascii="Times New Roman" w:hAnsi="Times New Roman" w:cs="Times New Roman"/>
            <w:sz w:val="24"/>
            <w:szCs w:val="24"/>
          </w:rPr>
          <w:id w:val="-432124399"/>
          <w:citation/>
        </w:sdtPr>
        <w:sdtContent>
          <w:r w:rsidR="00DC7DCC">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Dow08 \l 1033 </w:instrText>
          </w:r>
          <w:r w:rsidR="00DC7DCC">
            <w:rPr>
              <w:rFonts w:ascii="Times New Roman" w:hAnsi="Times New Roman" w:cs="Times New Roman"/>
              <w:sz w:val="24"/>
              <w:szCs w:val="24"/>
            </w:rPr>
            <w:fldChar w:fldCharType="separate"/>
          </w:r>
          <w:r w:rsidRPr="000635B5">
            <w:rPr>
              <w:rFonts w:ascii="Times New Roman" w:hAnsi="Times New Roman" w:cs="Times New Roman"/>
              <w:noProof/>
              <w:sz w:val="24"/>
              <w:szCs w:val="24"/>
            </w:rPr>
            <w:t>(Dowling-Castronovo &amp; Bradway, 2008)</w:t>
          </w:r>
          <w:r w:rsidR="00DC7DC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Identification of UI contributing factors could include medications, diet, mobility, body mass index (BMI), and type and amount of fluid intake. </w:t>
      </w:r>
      <w:sdt>
        <w:sdtPr>
          <w:rPr>
            <w:rFonts w:ascii="Times New Roman" w:hAnsi="Times New Roman" w:cs="Times New Roman"/>
            <w:sz w:val="24"/>
            <w:szCs w:val="24"/>
          </w:rPr>
          <w:id w:val="-2131617374"/>
          <w:citation/>
        </w:sdtPr>
        <w:sdtContent>
          <w:r w:rsidR="00DC7DCC">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Dow08 \l 1033 </w:instrText>
          </w:r>
          <w:r w:rsidR="00DC7DCC">
            <w:rPr>
              <w:rFonts w:ascii="Times New Roman" w:hAnsi="Times New Roman" w:cs="Times New Roman"/>
              <w:sz w:val="24"/>
              <w:szCs w:val="24"/>
            </w:rPr>
            <w:fldChar w:fldCharType="separate"/>
          </w:r>
          <w:r w:rsidRPr="000635B5">
            <w:rPr>
              <w:rFonts w:ascii="Times New Roman" w:hAnsi="Times New Roman" w:cs="Times New Roman"/>
              <w:noProof/>
              <w:sz w:val="24"/>
              <w:szCs w:val="24"/>
            </w:rPr>
            <w:t>(Dowling-Castronovo &amp; Bradway, 2008)</w:t>
          </w:r>
          <w:r w:rsidR="00DC7DCC">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environment should be considered as well. Throw rugs should be removed from the household; clutter should be kept at a minimum if it cannot be removed entirely; </w:t>
      </w:r>
      <w:r w:rsidR="00C70F1D">
        <w:rPr>
          <w:rFonts w:ascii="Times New Roman" w:hAnsi="Times New Roman" w:cs="Times New Roman"/>
          <w:sz w:val="24"/>
          <w:szCs w:val="24"/>
        </w:rPr>
        <w:t xml:space="preserve">hallways and walkways should be kept clear; distances between main living areas and the nearest bathroom should be kept to a minimum; sleeping areas should be situated near the bathroom; nightlights should be in place and correctly working; and undergarments should be easy to remove. </w:t>
      </w:r>
      <w:sdt>
        <w:sdtPr>
          <w:rPr>
            <w:rFonts w:ascii="Times New Roman" w:hAnsi="Times New Roman" w:cs="Times New Roman"/>
            <w:sz w:val="24"/>
            <w:szCs w:val="24"/>
          </w:rPr>
          <w:id w:val="-249439501"/>
          <w:citation/>
        </w:sdtPr>
        <w:sdtContent>
          <w:r w:rsidR="00DC7DCC">
            <w:rPr>
              <w:rFonts w:ascii="Times New Roman" w:hAnsi="Times New Roman" w:cs="Times New Roman"/>
              <w:sz w:val="24"/>
              <w:szCs w:val="24"/>
            </w:rPr>
            <w:fldChar w:fldCharType="begin"/>
          </w:r>
          <w:r w:rsidR="00C70F1D">
            <w:rPr>
              <w:rFonts w:ascii="Times New Roman" w:hAnsi="Times New Roman" w:cs="Times New Roman"/>
              <w:sz w:val="24"/>
              <w:szCs w:val="24"/>
            </w:rPr>
            <w:instrText xml:space="preserve"> CITATION Dow08 \l 1033 </w:instrText>
          </w:r>
          <w:r w:rsidR="00DC7DCC">
            <w:rPr>
              <w:rFonts w:ascii="Times New Roman" w:hAnsi="Times New Roman" w:cs="Times New Roman"/>
              <w:sz w:val="24"/>
              <w:szCs w:val="24"/>
            </w:rPr>
            <w:fldChar w:fldCharType="separate"/>
          </w:r>
          <w:r w:rsidR="00C70F1D" w:rsidRPr="00C70F1D">
            <w:rPr>
              <w:rFonts w:ascii="Times New Roman" w:hAnsi="Times New Roman" w:cs="Times New Roman"/>
              <w:noProof/>
              <w:sz w:val="24"/>
              <w:szCs w:val="24"/>
            </w:rPr>
            <w:t>(Dowling-Castronovo &amp; Bradway, 2008)</w:t>
          </w:r>
          <w:r w:rsidR="00DC7DCC">
            <w:rPr>
              <w:rFonts w:ascii="Times New Roman" w:hAnsi="Times New Roman" w:cs="Times New Roman"/>
              <w:sz w:val="24"/>
              <w:szCs w:val="24"/>
            </w:rPr>
            <w:fldChar w:fldCharType="end"/>
          </w:r>
        </w:sdtContent>
      </w:sdt>
      <w:r w:rsidR="00C70F1D">
        <w:rPr>
          <w:rFonts w:ascii="Times New Roman" w:hAnsi="Times New Roman" w:cs="Times New Roman"/>
          <w:sz w:val="24"/>
          <w:szCs w:val="24"/>
        </w:rPr>
        <w:t>.  If incontinence is anticipated, absorbent undergarments should be worn so that the person is not rushing to get to the bathroom.</w:t>
      </w:r>
      <w:sdt>
        <w:sdtPr>
          <w:rPr>
            <w:rFonts w:ascii="Times New Roman" w:hAnsi="Times New Roman" w:cs="Times New Roman"/>
            <w:sz w:val="24"/>
            <w:szCs w:val="24"/>
          </w:rPr>
          <w:id w:val="-2079503691"/>
          <w:citation/>
        </w:sdtPr>
        <w:sdtContent>
          <w:r w:rsidR="00DC7DCC">
            <w:rPr>
              <w:rFonts w:ascii="Times New Roman" w:hAnsi="Times New Roman" w:cs="Times New Roman"/>
              <w:sz w:val="24"/>
              <w:szCs w:val="24"/>
            </w:rPr>
            <w:fldChar w:fldCharType="begin"/>
          </w:r>
          <w:r w:rsidR="00C70F1D">
            <w:rPr>
              <w:rFonts w:ascii="Times New Roman" w:hAnsi="Times New Roman" w:cs="Times New Roman"/>
              <w:sz w:val="24"/>
              <w:szCs w:val="24"/>
            </w:rPr>
            <w:instrText xml:space="preserve"> CITATION Dow08 \l 1033 </w:instrText>
          </w:r>
          <w:r w:rsidR="00DC7DCC">
            <w:rPr>
              <w:rFonts w:ascii="Times New Roman" w:hAnsi="Times New Roman" w:cs="Times New Roman"/>
              <w:sz w:val="24"/>
              <w:szCs w:val="24"/>
            </w:rPr>
            <w:fldChar w:fldCharType="separate"/>
          </w:r>
          <w:r w:rsidR="00C70F1D">
            <w:rPr>
              <w:rFonts w:ascii="Times New Roman" w:hAnsi="Times New Roman" w:cs="Times New Roman"/>
              <w:noProof/>
              <w:sz w:val="24"/>
              <w:szCs w:val="24"/>
            </w:rPr>
            <w:t xml:space="preserve"> </w:t>
          </w:r>
          <w:r w:rsidR="00C70F1D" w:rsidRPr="00C70F1D">
            <w:rPr>
              <w:rFonts w:ascii="Times New Roman" w:hAnsi="Times New Roman" w:cs="Times New Roman"/>
              <w:noProof/>
              <w:sz w:val="24"/>
              <w:szCs w:val="24"/>
            </w:rPr>
            <w:t>(Dowling-Castronovo &amp; Bradway, 2008)</w:t>
          </w:r>
          <w:r w:rsidR="00DC7DCC">
            <w:rPr>
              <w:rFonts w:ascii="Times New Roman" w:hAnsi="Times New Roman" w:cs="Times New Roman"/>
              <w:sz w:val="24"/>
              <w:szCs w:val="24"/>
            </w:rPr>
            <w:fldChar w:fldCharType="end"/>
          </w:r>
        </w:sdtContent>
      </w:sdt>
      <w:r w:rsidR="00C70F1D">
        <w:rPr>
          <w:rFonts w:ascii="Times New Roman" w:hAnsi="Times New Roman" w:cs="Times New Roman"/>
          <w:sz w:val="24"/>
          <w:szCs w:val="24"/>
        </w:rPr>
        <w:t xml:space="preserve">.  If incontinence does occur, the patient should be advised to immediately remove the soiled garment and cleanse the skin to avoid breakdown of the tissues and to help prevent UTIs as a result of the soiled undergarment. </w:t>
      </w:r>
      <w:sdt>
        <w:sdtPr>
          <w:rPr>
            <w:rFonts w:ascii="Times New Roman" w:hAnsi="Times New Roman" w:cs="Times New Roman"/>
            <w:sz w:val="24"/>
            <w:szCs w:val="24"/>
          </w:rPr>
          <w:id w:val="30850004"/>
          <w:citation/>
        </w:sdtPr>
        <w:sdtContent>
          <w:r w:rsidR="00DC7DCC">
            <w:rPr>
              <w:rFonts w:ascii="Times New Roman" w:hAnsi="Times New Roman" w:cs="Times New Roman"/>
              <w:sz w:val="24"/>
              <w:szCs w:val="24"/>
            </w:rPr>
            <w:fldChar w:fldCharType="begin"/>
          </w:r>
          <w:r w:rsidR="00C70F1D">
            <w:rPr>
              <w:rFonts w:ascii="Times New Roman" w:hAnsi="Times New Roman" w:cs="Times New Roman"/>
              <w:sz w:val="24"/>
              <w:szCs w:val="24"/>
            </w:rPr>
            <w:instrText xml:space="preserve"> CITATION Dow08 \l 1033 </w:instrText>
          </w:r>
          <w:r w:rsidR="00DC7DCC">
            <w:rPr>
              <w:rFonts w:ascii="Times New Roman" w:hAnsi="Times New Roman" w:cs="Times New Roman"/>
              <w:sz w:val="24"/>
              <w:szCs w:val="24"/>
            </w:rPr>
            <w:fldChar w:fldCharType="separate"/>
          </w:r>
          <w:r w:rsidR="00C70F1D" w:rsidRPr="00C70F1D">
            <w:rPr>
              <w:rFonts w:ascii="Times New Roman" w:hAnsi="Times New Roman" w:cs="Times New Roman"/>
              <w:noProof/>
              <w:sz w:val="24"/>
              <w:szCs w:val="24"/>
            </w:rPr>
            <w:t>(Dowling-Castronovo &amp; Bradway, 2008)</w:t>
          </w:r>
          <w:r w:rsidR="00DC7DCC">
            <w:rPr>
              <w:rFonts w:ascii="Times New Roman" w:hAnsi="Times New Roman" w:cs="Times New Roman"/>
              <w:sz w:val="24"/>
              <w:szCs w:val="24"/>
            </w:rPr>
            <w:fldChar w:fldCharType="end"/>
          </w:r>
        </w:sdtContent>
      </w:sdt>
      <w:r w:rsidR="00C70F1D">
        <w:rPr>
          <w:rFonts w:ascii="Times New Roman" w:hAnsi="Times New Roman" w:cs="Times New Roman"/>
          <w:sz w:val="24"/>
          <w:szCs w:val="24"/>
        </w:rPr>
        <w:t xml:space="preserve">. </w:t>
      </w:r>
    </w:p>
    <w:p w:rsidR="00C70F1D" w:rsidRDefault="00C70F1D" w:rsidP="0051755B">
      <w:p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ab/>
        <w:t>Upon arriving home, Mr. Carson should:</w:t>
      </w:r>
    </w:p>
    <w:p w:rsidR="00C70F1D" w:rsidRDefault="00C70F1D" w:rsidP="00C70F1D">
      <w:pPr>
        <w:pStyle w:val="ListParagraph"/>
        <w:numPr>
          <w:ilvl w:val="0"/>
          <w:numId w:val="1"/>
        </w:num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lastRenderedPageBreak/>
        <w:t>Implement a toileting schedule to avoid urinary urgency. This should include a trip to the bathroom, at minimum, of once every hour in the morning and once every two hours in the afternoon</w:t>
      </w:r>
      <w:r w:rsidR="007737E8">
        <w:rPr>
          <w:rFonts w:ascii="Times New Roman" w:hAnsi="Times New Roman" w:cs="Times New Roman"/>
          <w:sz w:val="24"/>
          <w:szCs w:val="24"/>
        </w:rPr>
        <w:t xml:space="preserve"> and once every hour following dinner when at home. </w:t>
      </w:r>
    </w:p>
    <w:p w:rsidR="00C70F1D" w:rsidRDefault="00C70F1D" w:rsidP="00C70F1D">
      <w:pPr>
        <w:pStyle w:val="ListParagraph"/>
        <w:numPr>
          <w:ilvl w:val="0"/>
          <w:numId w:val="1"/>
        </w:num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Drink at least eight to ten glasses</w:t>
      </w:r>
      <w:r w:rsidR="00F72674">
        <w:rPr>
          <w:rFonts w:ascii="Times New Roman" w:hAnsi="Times New Roman" w:cs="Times New Roman"/>
          <w:sz w:val="24"/>
          <w:szCs w:val="24"/>
        </w:rPr>
        <w:t>, unless directed to do otherwise by physician,</w:t>
      </w:r>
      <w:r>
        <w:rPr>
          <w:rFonts w:ascii="Times New Roman" w:hAnsi="Times New Roman" w:cs="Times New Roman"/>
          <w:sz w:val="24"/>
          <w:szCs w:val="24"/>
        </w:rPr>
        <w:t xml:space="preserve"> of water each day with the majority of the water being drank in the morning and early afternoon hours and limiting his fluid intake to 4-8 ounces of water three hours prior to bedtime. </w:t>
      </w:r>
    </w:p>
    <w:p w:rsidR="00C70F1D" w:rsidRDefault="007737E8" w:rsidP="00C70F1D">
      <w:pPr>
        <w:pStyle w:val="ListParagraph"/>
        <w:numPr>
          <w:ilvl w:val="0"/>
          <w:numId w:val="1"/>
        </w:num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Restrict the consumption of beverages that contain caffeine (such as tea, coffee, and most sodas) to the morning and early afternoon hours when at home and avoid these beverages altogether when in a social setting as they promote diuresis. </w:t>
      </w:r>
    </w:p>
    <w:p w:rsidR="007737E8" w:rsidRDefault="007737E8" w:rsidP="00C70F1D">
      <w:pPr>
        <w:pStyle w:val="ListParagraph"/>
        <w:numPr>
          <w:ilvl w:val="0"/>
          <w:numId w:val="1"/>
        </w:num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Avoid caffeinated beverages after 4:00 in the afternoon in all situations.</w:t>
      </w:r>
    </w:p>
    <w:p w:rsidR="00F72674" w:rsidRDefault="00F72674" w:rsidP="00C70F1D">
      <w:pPr>
        <w:pStyle w:val="ListParagraph"/>
        <w:numPr>
          <w:ilvl w:val="0"/>
          <w:numId w:val="1"/>
        </w:num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Restrict sodium intake and foods high in sodium such as processed foods and meats and soups.</w:t>
      </w:r>
    </w:p>
    <w:p w:rsidR="00F72674" w:rsidRDefault="00F72674" w:rsidP="00C70F1D">
      <w:pPr>
        <w:pStyle w:val="ListParagraph"/>
        <w:numPr>
          <w:ilvl w:val="0"/>
          <w:numId w:val="1"/>
        </w:num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Do not use salt substitutes unless otherwise approved by physician; use herbs to increase flavor instead of salt or salt substitutes. </w:t>
      </w:r>
    </w:p>
    <w:p w:rsidR="007737E8" w:rsidRDefault="007737E8" w:rsidP="00C70F1D">
      <w:pPr>
        <w:pStyle w:val="ListParagraph"/>
        <w:numPr>
          <w:ilvl w:val="0"/>
          <w:numId w:val="1"/>
        </w:num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Ensure that the walkways/hallways are free of throw rugs and any obstacles that could impede passage. </w:t>
      </w:r>
    </w:p>
    <w:p w:rsidR="007737E8" w:rsidRDefault="007737E8" w:rsidP="00C70F1D">
      <w:pPr>
        <w:pStyle w:val="ListParagraph"/>
        <w:numPr>
          <w:ilvl w:val="0"/>
          <w:numId w:val="1"/>
        </w:num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Ensure that the bedroom is located as close to the bathroom as possible and should be on the same floor no matter how far apart they are. The ideal situation would be that the patient’s bedroom was on the ground floor. </w:t>
      </w:r>
    </w:p>
    <w:p w:rsidR="007737E8" w:rsidRDefault="007737E8" w:rsidP="00C70F1D">
      <w:pPr>
        <w:pStyle w:val="ListParagraph"/>
        <w:numPr>
          <w:ilvl w:val="0"/>
          <w:numId w:val="1"/>
        </w:num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Medication may cause lightheadedness or fainting. Move from a sitting or lying position slowly to avoid falling or becoming lightheaded. </w:t>
      </w:r>
      <w:r w:rsidR="008B73C4">
        <w:rPr>
          <w:rFonts w:ascii="Times New Roman" w:hAnsi="Times New Roman" w:cs="Times New Roman"/>
          <w:sz w:val="24"/>
          <w:szCs w:val="24"/>
        </w:rPr>
        <w:t xml:space="preserve">By following the toileting schedule above, this will help avoid urgency and the need to move quickly from a sitting or lying position. </w:t>
      </w:r>
    </w:p>
    <w:p w:rsidR="008B73C4" w:rsidRDefault="008B73C4" w:rsidP="00C70F1D">
      <w:pPr>
        <w:pStyle w:val="ListParagraph"/>
        <w:numPr>
          <w:ilvl w:val="0"/>
          <w:numId w:val="1"/>
        </w:num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lastRenderedPageBreak/>
        <w:t xml:space="preserve">Consult with the visiting nurse for any questions regarding toileting schedule or environmental/living arrangements or call physician’s office if any questions arise regarding medications, dizziness, lightheadedness, or faintness. </w:t>
      </w:r>
      <w:r w:rsidR="00B92B69">
        <w:rPr>
          <w:rFonts w:ascii="Times New Roman" w:hAnsi="Times New Roman" w:cs="Times New Roman"/>
          <w:color w:val="FF0000"/>
          <w:sz w:val="24"/>
          <w:szCs w:val="24"/>
        </w:rPr>
        <w:t>Cite source</w:t>
      </w:r>
    </w:p>
    <w:p w:rsidR="008B73C4" w:rsidRDefault="008B73C4" w:rsidP="008B73C4">
      <w:pPr>
        <w:pStyle w:val="ListParagraph"/>
        <w:tabs>
          <w:tab w:val="left" w:pos="0"/>
          <w:tab w:val="left" w:pos="3405"/>
        </w:tabs>
        <w:spacing w:line="480" w:lineRule="auto"/>
        <w:ind w:left="0" w:firstLine="720"/>
        <w:jc w:val="left"/>
        <w:rPr>
          <w:rFonts w:ascii="Times New Roman" w:hAnsi="Times New Roman" w:cs="Times New Roman"/>
          <w:sz w:val="24"/>
          <w:szCs w:val="24"/>
        </w:rPr>
      </w:pPr>
      <w:r>
        <w:rPr>
          <w:rFonts w:ascii="Times New Roman" w:hAnsi="Times New Roman" w:cs="Times New Roman"/>
          <w:sz w:val="24"/>
          <w:szCs w:val="24"/>
        </w:rPr>
        <w:t xml:space="preserve">Orthostatic hypertension is a concern in the patient who suffers from functional incontinence. Orthostatic hypertension occurs when a patient moves to a sitting or standing position from a lying or sitting position. This drop in blood pressure is typically a result of medication; in this case, the patient’s Cardizem. If the patient does not follow a toileting schedule to reduce the possibility of urinary urgency and moves or stands quickly, s/he is at risk for falling and possibly fracturing a hip due to orthostatic hypertension. In the elderly, a fractured hip can prove fatal or, at the very least, a life-altering event. </w:t>
      </w:r>
    </w:p>
    <w:p w:rsidR="00F72674" w:rsidRPr="00B92B69" w:rsidRDefault="00F72674" w:rsidP="008B73C4">
      <w:pPr>
        <w:pStyle w:val="ListParagraph"/>
        <w:tabs>
          <w:tab w:val="left" w:pos="0"/>
          <w:tab w:val="left" w:pos="3405"/>
        </w:tabs>
        <w:spacing w:line="480" w:lineRule="auto"/>
        <w:ind w:left="0" w:firstLine="720"/>
        <w:jc w:val="left"/>
        <w:rPr>
          <w:rFonts w:ascii="Times New Roman" w:hAnsi="Times New Roman" w:cs="Times New Roman"/>
          <w:color w:val="FF0000"/>
          <w:sz w:val="24"/>
          <w:szCs w:val="24"/>
        </w:rPr>
      </w:pPr>
      <w:r>
        <w:rPr>
          <w:rFonts w:ascii="Times New Roman" w:hAnsi="Times New Roman" w:cs="Times New Roman"/>
          <w:sz w:val="24"/>
          <w:szCs w:val="24"/>
        </w:rPr>
        <w:t>The home health nurse should inspect the living areas and make recommendations to the patient and his daughter as to keeping hallways and walkways free of items that can impede mobility; removing any and all throw rugs from the house; placing night lights in the walkways that are most likely to be used at night; if possible, Mr. Carson should sleep on the ground floor and, in any case, his bedroom should be located as close to the bathroom as possible. Mr. Carson’s diet should consist of low sodium foods to avoid fluid retention and he should avoid caffeinated beverages such as tea, coffee and most sodas after 4:00 in the afternoon; and Mr. Carson should drink 8-10 glasses of water daily unless otherwise restricted by his physician. Mr. Carson or his daughter should call this RN with any questions regarding environment. Mr. Carson or his daughter should call his physician’s office if any questions arise regarding</w:t>
      </w:r>
      <w:r w:rsidR="00140042">
        <w:rPr>
          <w:rFonts w:ascii="Times New Roman" w:hAnsi="Times New Roman" w:cs="Times New Roman"/>
          <w:sz w:val="24"/>
          <w:szCs w:val="24"/>
        </w:rPr>
        <w:t xml:space="preserve"> medications or ask this RN to coordinate with physician’s office for clarification of orders to ensure a complete and total understanding. </w:t>
      </w:r>
      <w:r w:rsidR="00B92B69">
        <w:rPr>
          <w:rFonts w:ascii="Times New Roman" w:hAnsi="Times New Roman" w:cs="Times New Roman"/>
          <w:color w:val="FF0000"/>
          <w:sz w:val="24"/>
          <w:szCs w:val="24"/>
        </w:rPr>
        <w:t>Cite sources</w:t>
      </w:r>
    </w:p>
    <w:p w:rsidR="00E936C8" w:rsidRDefault="00E936C8" w:rsidP="0051755B">
      <w:pPr>
        <w:tabs>
          <w:tab w:val="left" w:pos="720"/>
          <w:tab w:val="left" w:pos="3405"/>
        </w:tabs>
        <w:spacing w:line="480" w:lineRule="auto"/>
        <w:jc w:val="left"/>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56758647"/>
        <w:docPartObj>
          <w:docPartGallery w:val="Bibliographies"/>
          <w:docPartUnique/>
        </w:docPartObj>
      </w:sdtPr>
      <w:sdtContent>
        <w:p w:rsidR="00140042" w:rsidRPr="00140042" w:rsidRDefault="00140042" w:rsidP="00140042">
          <w:pPr>
            <w:pStyle w:val="Heading1"/>
            <w:spacing w:line="480" w:lineRule="auto"/>
            <w:jc w:val="center"/>
            <w:rPr>
              <w:color w:val="auto"/>
            </w:rPr>
          </w:pPr>
          <w:r>
            <w:rPr>
              <w:color w:val="auto"/>
            </w:rPr>
            <w:t>References</w:t>
          </w:r>
        </w:p>
        <w:commentRangeStart w:id="4"/>
        <w:commentRangeStart w:id="5"/>
        <w:commentRangeStart w:id="6"/>
        <w:commentRangeStart w:id="7"/>
        <w:p w:rsidR="00140042" w:rsidRDefault="00DC7DCC" w:rsidP="00140042">
          <w:pPr>
            <w:pStyle w:val="Bibliography"/>
            <w:spacing w:line="480" w:lineRule="auto"/>
            <w:ind w:left="720" w:hanging="720"/>
            <w:jc w:val="left"/>
            <w:rPr>
              <w:noProof/>
            </w:rPr>
          </w:pPr>
          <w:r w:rsidRPr="00DC7DCC">
            <w:fldChar w:fldCharType="begin"/>
          </w:r>
          <w:r w:rsidR="00140042">
            <w:instrText xml:space="preserve"> BIBLIOGRAPHY </w:instrText>
          </w:r>
          <w:r w:rsidRPr="00DC7DCC">
            <w:fldChar w:fldCharType="separate"/>
          </w:r>
          <w:r w:rsidR="00140042">
            <w:rPr>
              <w:i/>
              <w:iCs/>
              <w:noProof/>
            </w:rPr>
            <w:t>Nursing Drug Handbook (32nd Ed.).</w:t>
          </w:r>
          <w:r w:rsidR="00140042">
            <w:rPr>
              <w:noProof/>
            </w:rPr>
            <w:t xml:space="preserve"> (2012). Philadelphia: Wolters Kluwer Health - Lippincott Williams and Wilkins .</w:t>
          </w:r>
        </w:p>
        <w:p w:rsidR="00140042" w:rsidRDefault="00140042" w:rsidP="00140042">
          <w:pPr>
            <w:pStyle w:val="Bibliography"/>
            <w:spacing w:line="480" w:lineRule="auto"/>
            <w:ind w:left="720" w:hanging="720"/>
            <w:jc w:val="left"/>
            <w:rPr>
              <w:noProof/>
            </w:rPr>
          </w:pPr>
          <w:r>
            <w:rPr>
              <w:noProof/>
            </w:rPr>
            <w:t xml:space="preserve">Bowles, D. (2011). </w:t>
          </w:r>
          <w:r>
            <w:rPr>
              <w:i/>
              <w:iCs/>
              <w:noProof/>
            </w:rPr>
            <w:t>Gerontology Nursing Case Studies: 100 narratives for learning.</w:t>
          </w:r>
          <w:r>
            <w:rPr>
              <w:noProof/>
            </w:rPr>
            <w:t xml:space="preserve"> New York: Springer Publiching Company, LLC.</w:t>
          </w:r>
        </w:p>
        <w:p w:rsidR="00140042" w:rsidRDefault="00140042" w:rsidP="00140042">
          <w:pPr>
            <w:pStyle w:val="Bibliography"/>
            <w:spacing w:line="480" w:lineRule="auto"/>
            <w:ind w:left="720" w:hanging="720"/>
            <w:jc w:val="left"/>
            <w:rPr>
              <w:noProof/>
            </w:rPr>
          </w:pPr>
          <w:r>
            <w:rPr>
              <w:noProof/>
            </w:rPr>
            <w:t xml:space="preserve">Dowling-Castronovo, A., &amp; Bradway, C. (2008). </w:t>
          </w:r>
          <w:r>
            <w:rPr>
              <w:i/>
              <w:iCs/>
              <w:noProof/>
            </w:rPr>
            <w:t>Nursing standard of practice protocol: Urinary incontinence (UI) in older adults admitted to acute care</w:t>
          </w:r>
          <w:r>
            <w:rPr>
              <w:noProof/>
            </w:rPr>
            <w:t xml:space="preserve">. Retrieved from The Hartfor Institute of Geriatric Nursing: http://consultgerirn.org/topics/urinary_incontinence/want_to_know_more#item_5 </w:t>
          </w:r>
        </w:p>
        <w:p w:rsidR="00140042" w:rsidRDefault="00140042" w:rsidP="00140042">
          <w:pPr>
            <w:pStyle w:val="Bibliography"/>
            <w:spacing w:line="480" w:lineRule="auto"/>
            <w:ind w:left="720" w:hanging="720"/>
            <w:jc w:val="left"/>
            <w:rPr>
              <w:noProof/>
            </w:rPr>
          </w:pPr>
          <w:r>
            <w:rPr>
              <w:noProof/>
            </w:rPr>
            <w:t xml:space="preserve">Mauk, K. L. (2010). </w:t>
          </w:r>
          <w:r>
            <w:rPr>
              <w:i/>
              <w:iCs/>
              <w:noProof/>
            </w:rPr>
            <w:t>Gerontological nursing competencies for care.</w:t>
          </w:r>
          <w:r>
            <w:rPr>
              <w:noProof/>
            </w:rPr>
            <w:t xml:space="preserve"> Sudbury, MA: Jones and Bartlett Publishers.</w:t>
          </w:r>
        </w:p>
        <w:p w:rsidR="00140042" w:rsidRDefault="00140042" w:rsidP="00140042">
          <w:pPr>
            <w:pStyle w:val="Bibliography"/>
            <w:spacing w:line="480" w:lineRule="auto"/>
            <w:ind w:left="720" w:hanging="720"/>
            <w:jc w:val="left"/>
            <w:rPr>
              <w:noProof/>
            </w:rPr>
          </w:pPr>
          <w:r>
            <w:rPr>
              <w:noProof/>
            </w:rPr>
            <w:t xml:space="preserve">Smeltzer, S., Hinkle, J., Bare, B., &amp; Cheever, K. (2010). </w:t>
          </w:r>
          <w:r>
            <w:rPr>
              <w:i/>
              <w:iCs/>
              <w:noProof/>
            </w:rPr>
            <w:t>Brunner and Suddarth's textbook of medical-surgical nursing.</w:t>
          </w:r>
          <w:r>
            <w:rPr>
              <w:noProof/>
            </w:rPr>
            <w:t xml:space="preserve"> Philadelphia: Wolters Kluwer Health/Lippincott Williams &amp; Wilkins.</w:t>
          </w:r>
        </w:p>
        <w:p w:rsidR="00140042" w:rsidRDefault="00DC7DCC" w:rsidP="00140042">
          <w:pPr>
            <w:spacing w:line="480" w:lineRule="auto"/>
            <w:jc w:val="left"/>
          </w:pPr>
          <w:r>
            <w:rPr>
              <w:b/>
              <w:bCs/>
            </w:rPr>
            <w:fldChar w:fldCharType="end"/>
          </w:r>
          <w:bookmarkStart w:id="8" w:name="_GoBack"/>
          <w:bookmarkEnd w:id="8"/>
          <w:commentRangeEnd w:id="4"/>
          <w:commentRangeEnd w:id="5"/>
          <w:commentRangeEnd w:id="6"/>
          <w:commentRangeEnd w:id="7"/>
          <w:r w:rsidR="00B92B69">
            <w:rPr>
              <w:rStyle w:val="CommentReference"/>
            </w:rPr>
            <w:commentReference w:id="7"/>
          </w:r>
          <w:r w:rsidR="00B92B69">
            <w:rPr>
              <w:rStyle w:val="CommentReference"/>
            </w:rPr>
            <w:commentReference w:id="6"/>
          </w:r>
          <w:r w:rsidR="00B92B69">
            <w:rPr>
              <w:rStyle w:val="CommentReference"/>
            </w:rPr>
            <w:commentReference w:id="5"/>
          </w:r>
          <w:r w:rsidR="00B92B69">
            <w:rPr>
              <w:rStyle w:val="CommentReference"/>
            </w:rPr>
            <w:commentReference w:id="4"/>
          </w:r>
        </w:p>
      </w:sdtContent>
    </w:sdt>
    <w:p w:rsidR="00E936C8" w:rsidRDefault="00E936C8" w:rsidP="0051755B">
      <w:pPr>
        <w:tabs>
          <w:tab w:val="left" w:pos="720"/>
          <w:tab w:val="left" w:pos="3405"/>
        </w:tabs>
        <w:spacing w:line="480" w:lineRule="auto"/>
        <w:jc w:val="left"/>
        <w:rPr>
          <w:rFonts w:ascii="Times New Roman" w:hAnsi="Times New Roman" w:cs="Times New Roman"/>
          <w:sz w:val="24"/>
          <w:szCs w:val="24"/>
        </w:rPr>
      </w:pPr>
    </w:p>
    <w:p w:rsidR="008C21FB" w:rsidRPr="006E42F9" w:rsidRDefault="008C21FB" w:rsidP="008C21FB">
      <w:pPr>
        <w:tabs>
          <w:tab w:val="left" w:pos="720"/>
          <w:tab w:val="left" w:pos="3405"/>
        </w:tabs>
        <w:spacing w:line="480" w:lineRule="auto"/>
        <w:jc w:val="left"/>
        <w:rPr>
          <w:rFonts w:ascii="Times New Roman" w:hAnsi="Times New Roman" w:cs="Times New Roman"/>
          <w:sz w:val="24"/>
          <w:szCs w:val="24"/>
        </w:rPr>
      </w:pPr>
      <w:r>
        <w:rPr>
          <w:rFonts w:ascii="Times New Roman" w:hAnsi="Times New Roman" w:cs="Times New Roman"/>
          <w:sz w:val="24"/>
          <w:szCs w:val="24"/>
        </w:rPr>
        <w:tab/>
      </w:r>
    </w:p>
    <w:p w:rsidR="008C21FB" w:rsidRDefault="004C0137" w:rsidP="008C21FB">
      <w:pPr>
        <w:spacing w:line="480" w:lineRule="auto"/>
        <w:jc w:val="left"/>
      </w:pPr>
      <w:r w:rsidRPr="006E42F9">
        <w:rPr>
          <w:rFonts w:ascii="Times New Roman" w:hAnsi="Times New Roman" w:cs="Times New Roman"/>
          <w:sz w:val="24"/>
          <w:szCs w:val="24"/>
        </w:rPr>
        <w:tab/>
      </w:r>
    </w:p>
    <w:p w:rsidR="00311F74" w:rsidRDefault="00311F74" w:rsidP="00311F74">
      <w:pPr>
        <w:spacing w:line="480" w:lineRule="auto"/>
        <w:jc w:val="left"/>
      </w:pPr>
    </w:p>
    <w:p w:rsidR="006977FD" w:rsidRPr="006E42F9" w:rsidRDefault="006977FD" w:rsidP="006E42F9">
      <w:pPr>
        <w:spacing w:line="480" w:lineRule="auto"/>
        <w:jc w:val="left"/>
        <w:rPr>
          <w:rFonts w:ascii="Times New Roman" w:hAnsi="Times New Roman" w:cs="Times New Roman"/>
          <w:sz w:val="24"/>
          <w:szCs w:val="24"/>
        </w:rPr>
      </w:pPr>
    </w:p>
    <w:sectPr w:rsidR="006977FD" w:rsidRPr="006E42F9" w:rsidSect="009A5A70">
      <w:headerReference w:type="first" r:id="rId15"/>
      <w:pgSz w:w="12240" w:h="15840" w:code="1"/>
      <w:pgMar w:top="1440" w:right="1440" w:bottom="1440" w:left="1440" w:header="720" w:footer="720" w:gutter="0"/>
      <w:pgNumType w:start="1"/>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08T08:09:00Z" w:initials="M">
    <w:p w:rsidR="00B92B69" w:rsidRDefault="00B92B69">
      <w:pPr>
        <w:pStyle w:val="CommentText"/>
      </w:pPr>
      <w:r>
        <w:rPr>
          <w:rStyle w:val="CommentReference"/>
        </w:rPr>
        <w:annotationRef/>
      </w:r>
      <w:r>
        <w:t>This is actually page 2</w:t>
      </w:r>
    </w:p>
  </w:comment>
  <w:comment w:id="1" w:author="Mary" w:date="2012-04-08T08:10:00Z" w:initials="M">
    <w:p w:rsidR="00B92B69" w:rsidRDefault="00B92B69">
      <w:pPr>
        <w:pStyle w:val="CommentText"/>
      </w:pPr>
      <w:r>
        <w:rPr>
          <w:rStyle w:val="CommentReference"/>
        </w:rPr>
        <w:annotationRef/>
      </w:r>
      <w:r>
        <w:t>This is hard to follow because these are not numbered which I have asked everybody to do.</w:t>
      </w:r>
    </w:p>
  </w:comment>
  <w:comment w:id="2" w:author="Mary" w:date="2012-04-08T08:12:00Z" w:initials="M">
    <w:p w:rsidR="00B92B69" w:rsidRDefault="00B92B69">
      <w:pPr>
        <w:pStyle w:val="CommentText"/>
      </w:pPr>
      <w:r>
        <w:rPr>
          <w:rStyle w:val="CommentReference"/>
        </w:rPr>
        <w:annotationRef/>
      </w:r>
      <w:r>
        <w:t>Site source not just off the top of your head</w:t>
      </w:r>
    </w:p>
  </w:comment>
  <w:comment w:id="3" w:author="Mary" w:date="2012-04-08T08:11:00Z" w:initials="M">
    <w:p w:rsidR="00B92B69" w:rsidRDefault="00B92B69">
      <w:pPr>
        <w:pStyle w:val="CommentText"/>
      </w:pPr>
      <w:r>
        <w:rPr>
          <w:rStyle w:val="CommentReference"/>
        </w:rPr>
        <w:annotationRef/>
      </w:r>
      <w:r>
        <w:t>You need to use evidence based information for these not just what you know. Find it in a book and site it.</w:t>
      </w:r>
    </w:p>
  </w:comment>
  <w:comment w:id="7" w:author="Mary" w:date="2012-04-08T08:18:00Z" w:initials="M">
    <w:p w:rsidR="00B92B69" w:rsidRDefault="00B92B69">
      <w:pPr>
        <w:pStyle w:val="CommentText"/>
      </w:pPr>
      <w:r>
        <w:rPr>
          <w:rStyle w:val="CommentReference"/>
        </w:rPr>
        <w:annotationRef/>
      </w:r>
      <w:r>
        <w:t>5</w:t>
      </w:r>
      <w:r w:rsidRPr="00B92B69">
        <w:rPr>
          <w:vertAlign w:val="superscript"/>
        </w:rPr>
        <w:t>th</w:t>
      </w:r>
      <w:r>
        <w:t xml:space="preserve"> </w:t>
      </w:r>
      <w:proofErr w:type="gramStart"/>
      <w:r>
        <w:t>ref  Need</w:t>
      </w:r>
      <w:proofErr w:type="gramEnd"/>
      <w:r>
        <w:t xml:space="preserve"> edition of text</w:t>
      </w:r>
    </w:p>
  </w:comment>
  <w:comment w:id="6" w:author="Mary" w:date="2012-04-08T08:17:00Z" w:initials="M">
    <w:p w:rsidR="00B92B69" w:rsidRDefault="00B92B69">
      <w:pPr>
        <w:pStyle w:val="CommentText"/>
      </w:pPr>
      <w:r>
        <w:rPr>
          <w:rStyle w:val="CommentReference"/>
        </w:rPr>
        <w:annotationRef/>
      </w:r>
      <w:r>
        <w:t>4</w:t>
      </w:r>
      <w:r w:rsidRPr="00B92B69">
        <w:rPr>
          <w:vertAlign w:val="superscript"/>
        </w:rPr>
        <w:t>th</w:t>
      </w:r>
      <w:r>
        <w:t xml:space="preserve"> ref need (2</w:t>
      </w:r>
      <w:r w:rsidRPr="00B92B69">
        <w:rPr>
          <w:vertAlign w:val="superscript"/>
        </w:rPr>
        <w:t>nd</w:t>
      </w:r>
      <w:r>
        <w:t xml:space="preserve"> ed.). </w:t>
      </w:r>
      <w:proofErr w:type="gramStart"/>
      <w:r>
        <w:t>and</w:t>
      </w:r>
      <w:proofErr w:type="gramEnd"/>
      <w:r>
        <w:t xml:space="preserve"> leave off the word publisher</w:t>
      </w:r>
    </w:p>
  </w:comment>
  <w:comment w:id="5" w:author="Mary" w:date="2012-04-08T08:16:00Z" w:initials="M">
    <w:p w:rsidR="00B92B69" w:rsidRDefault="00B92B69">
      <w:pPr>
        <w:pStyle w:val="CommentText"/>
      </w:pPr>
      <w:r>
        <w:rPr>
          <w:rStyle w:val="CommentReference"/>
        </w:rPr>
        <w:annotationRef/>
      </w:r>
      <w:r>
        <w:t>2</w:t>
      </w:r>
      <w:r w:rsidRPr="00B92B69">
        <w:rPr>
          <w:vertAlign w:val="superscript"/>
        </w:rPr>
        <w:t>nd</w:t>
      </w:r>
      <w:r>
        <w:t xml:space="preserve"> </w:t>
      </w:r>
      <w:proofErr w:type="gramStart"/>
      <w:r>
        <w:t>ref  Only</w:t>
      </w:r>
      <w:proofErr w:type="gramEnd"/>
      <w:r>
        <w:t xml:space="preserve"> capitalize Gerontology and not the rest. For the publisher just use Springer and leave off the rest</w:t>
      </w:r>
    </w:p>
  </w:comment>
  <w:comment w:id="4" w:author="Mary" w:date="2012-04-08T08:19:00Z" w:initials="M">
    <w:p w:rsidR="00B92B69" w:rsidRDefault="00B92B69">
      <w:pPr>
        <w:pStyle w:val="CommentText"/>
      </w:pPr>
      <w:r>
        <w:rPr>
          <w:rStyle w:val="CommentReference"/>
        </w:rPr>
        <w:annotationRef/>
      </w:r>
      <w:r>
        <w:t>1</w:t>
      </w:r>
      <w:r w:rsidRPr="00B92B69">
        <w:rPr>
          <w:vertAlign w:val="superscript"/>
        </w:rPr>
        <w:t>st</w:t>
      </w:r>
      <w:r>
        <w:t xml:space="preserve"> ref</w:t>
      </w:r>
      <w:proofErr w:type="gramStart"/>
      <w:r>
        <w:t>..</w:t>
      </w:r>
      <w:proofErr w:type="gramEnd"/>
      <w:r>
        <w:t xml:space="preserve"> </w:t>
      </w:r>
      <w:proofErr w:type="gramStart"/>
      <w:r>
        <w:t>who</w:t>
      </w:r>
      <w:proofErr w:type="gramEnd"/>
      <w:r>
        <w:t xml:space="preserve"> is the editor??? Use as </w:t>
      </w:r>
      <w:proofErr w:type="gramStart"/>
      <w:r>
        <w:t>author  and</w:t>
      </w:r>
      <w:proofErr w:type="gramEnd"/>
      <w:r>
        <w:t xml:space="preserve"> edition has a small 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728" w:rsidRDefault="00404728" w:rsidP="00076AFF">
      <w:pPr>
        <w:spacing w:line="240" w:lineRule="auto"/>
      </w:pPr>
      <w:r>
        <w:separator/>
      </w:r>
    </w:p>
  </w:endnote>
  <w:endnote w:type="continuationSeparator" w:id="0">
    <w:p w:rsidR="00404728" w:rsidRDefault="00404728" w:rsidP="00076A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B69" w:rsidRDefault="00B92B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B69" w:rsidRDefault="00B92B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B69" w:rsidRDefault="00B92B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728" w:rsidRDefault="00404728" w:rsidP="00076AFF">
      <w:pPr>
        <w:spacing w:line="240" w:lineRule="auto"/>
      </w:pPr>
      <w:r>
        <w:separator/>
      </w:r>
    </w:p>
  </w:footnote>
  <w:footnote w:type="continuationSeparator" w:id="0">
    <w:p w:rsidR="00404728" w:rsidRDefault="00404728" w:rsidP="00076A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B69" w:rsidRDefault="00B92B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53723"/>
      <w:docPartObj>
        <w:docPartGallery w:val="Page Numbers (Top of Page)"/>
        <w:docPartUnique/>
      </w:docPartObj>
    </w:sdtPr>
    <w:sdtEndPr>
      <w:rPr>
        <w:noProof/>
      </w:rPr>
    </w:sdtEndPr>
    <w:sdtContent>
      <w:p w:rsidR="006A7BA1" w:rsidRDefault="00233783" w:rsidP="006A7BA1">
        <w:pPr>
          <w:pStyle w:val="Header"/>
          <w:jc w:val="left"/>
        </w:pPr>
        <w:r w:rsidRPr="00233783">
          <w:rPr>
            <w:rFonts w:ascii="Times New Roman" w:hAnsi="Times New Roman" w:cs="Times New Roman"/>
            <w:sz w:val="24"/>
            <w:szCs w:val="24"/>
          </w:rPr>
          <w:t xml:space="preserve">CASE STUDIES </w:t>
        </w:r>
        <w:r w:rsidR="008C21FB">
          <w:rPr>
            <w:rFonts w:ascii="Times New Roman" w:hAnsi="Times New Roman" w:cs="Times New Roman"/>
            <w:sz w:val="24"/>
            <w:szCs w:val="24"/>
          </w:rPr>
          <w:t>14.3</w:t>
        </w:r>
        <w:r w:rsidR="006A7BA1">
          <w:tab/>
        </w:r>
        <w:r w:rsidR="006A7BA1">
          <w:tab/>
        </w:r>
        <w:r w:rsidR="00DC7DCC">
          <w:fldChar w:fldCharType="begin"/>
        </w:r>
        <w:r w:rsidR="006A7BA1">
          <w:instrText xml:space="preserve"> PAGE   \* MERGEFORMAT </w:instrText>
        </w:r>
        <w:r w:rsidR="00DC7DCC">
          <w:fldChar w:fldCharType="separate"/>
        </w:r>
        <w:r w:rsidR="00AA709D">
          <w:rPr>
            <w:noProof/>
          </w:rPr>
          <w:t>2</w:t>
        </w:r>
        <w:r w:rsidR="00DC7DCC">
          <w:rPr>
            <w:noProof/>
          </w:rPr>
          <w:fldChar w:fldCharType="end"/>
        </w:r>
      </w:p>
    </w:sdtContent>
  </w:sdt>
  <w:p w:rsidR="00076AFF" w:rsidRDefault="00076AFF" w:rsidP="00076AFF">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AFF" w:rsidRPr="009A5A70" w:rsidRDefault="0015052B" w:rsidP="00076AFF">
    <w:pPr>
      <w:pStyle w:val="Header"/>
      <w:jc w:val="left"/>
      <w:rPr>
        <w:rFonts w:ascii="Times New Roman" w:hAnsi="Times New Roman" w:cs="Times New Roman"/>
        <w:sz w:val="24"/>
        <w:szCs w:val="24"/>
      </w:rPr>
    </w:pPr>
    <w:r>
      <w:rPr>
        <w:rFonts w:ascii="Times New Roman" w:hAnsi="Times New Roman" w:cs="Times New Roman"/>
        <w:sz w:val="24"/>
        <w:szCs w:val="24"/>
      </w:rPr>
      <w:t>Running head: CASE STUDIES</w:t>
    </w:r>
    <w:r w:rsidR="00855C1F">
      <w:rPr>
        <w:rFonts w:ascii="Times New Roman" w:hAnsi="Times New Roman" w:cs="Times New Roman"/>
        <w:sz w:val="24"/>
        <w:szCs w:val="24"/>
      </w:rPr>
      <w:t xml:space="preserve"> </w:t>
    </w:r>
    <w:r w:rsidR="008C21FB">
      <w:rPr>
        <w:rFonts w:ascii="Times New Roman" w:hAnsi="Times New Roman" w:cs="Times New Roman"/>
        <w:sz w:val="24"/>
        <w:szCs w:val="24"/>
      </w:rPr>
      <w:t>14.3</w:t>
    </w:r>
  </w:p>
  <w:p w:rsidR="00076AFF" w:rsidRDefault="00AA709D" w:rsidP="00076AFF">
    <w:pPr>
      <w:pStyle w:val="Header"/>
      <w:jc w:val="left"/>
      <w:rPr>
        <w:color w:val="FF0000"/>
      </w:rPr>
    </w:pPr>
    <w:r>
      <w:rPr>
        <w:color w:val="FF0000"/>
      </w:rPr>
      <w:t xml:space="preserve">13/15  </w:t>
    </w:r>
  </w:p>
  <w:p w:rsidR="00AA709D" w:rsidRPr="00AA709D" w:rsidRDefault="00AA709D" w:rsidP="00076AFF">
    <w:pPr>
      <w:pStyle w:val="Header"/>
      <w:jc w:val="left"/>
      <w:rPr>
        <w:color w:val="FF0000"/>
      </w:rPr>
    </w:pPr>
    <w:r>
      <w:rPr>
        <w:color w:val="FF0000"/>
      </w:rPr>
      <w:t xml:space="preserve">You need to cite all of your references in text of body.  All cites should have a reference and all references have a cite.  </w:t>
    </w:r>
    <w:r>
      <w:rPr>
        <w:color w:val="FF0000"/>
      </w:rPr>
      <w:t xml:space="preserve">Read the rest of the </w:t>
    </w:r>
    <w:r>
      <w:rPr>
        <w:color w:val="FF0000"/>
      </w:rPr>
      <w:t>comments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808472"/>
      <w:docPartObj>
        <w:docPartGallery w:val="Page Numbers (Top of Page)"/>
        <w:docPartUnique/>
      </w:docPartObj>
    </w:sdtPr>
    <w:sdtEndPr>
      <w:rPr>
        <w:noProof/>
      </w:rPr>
    </w:sdtEndPr>
    <w:sdtContent>
      <w:p w:rsidR="009A5A70" w:rsidRPr="009A5A70" w:rsidRDefault="00233783" w:rsidP="009A5A70">
        <w:pPr>
          <w:pStyle w:val="Header"/>
          <w:jc w:val="left"/>
          <w:rPr>
            <w:rFonts w:ascii="Times New Roman" w:hAnsi="Times New Roman" w:cs="Times New Roman"/>
            <w:sz w:val="24"/>
            <w:szCs w:val="24"/>
          </w:rPr>
        </w:pPr>
        <w:r w:rsidRPr="00233783">
          <w:rPr>
            <w:rFonts w:ascii="Times New Roman" w:hAnsi="Times New Roman" w:cs="Times New Roman"/>
            <w:sz w:val="24"/>
            <w:szCs w:val="24"/>
          </w:rPr>
          <w:t xml:space="preserve">CASE STUDIES </w:t>
        </w:r>
        <w:r w:rsidR="008C21FB">
          <w:rPr>
            <w:rFonts w:ascii="Times New Roman" w:hAnsi="Times New Roman" w:cs="Times New Roman"/>
            <w:sz w:val="24"/>
            <w:szCs w:val="24"/>
          </w:rPr>
          <w:t>14.3</w:t>
        </w:r>
        <w:r w:rsidR="009A5A70">
          <w:rPr>
            <w:rFonts w:ascii="Times New Roman" w:hAnsi="Times New Roman" w:cs="Times New Roman"/>
            <w:sz w:val="24"/>
            <w:szCs w:val="24"/>
          </w:rPr>
          <w:tab/>
        </w:r>
        <w:r w:rsidR="009A5A70">
          <w:rPr>
            <w:rFonts w:ascii="Times New Roman" w:hAnsi="Times New Roman" w:cs="Times New Roman"/>
            <w:sz w:val="24"/>
            <w:szCs w:val="24"/>
          </w:rPr>
          <w:tab/>
        </w:r>
        <w:r w:rsidR="00DC7DCC">
          <w:fldChar w:fldCharType="begin"/>
        </w:r>
        <w:r w:rsidR="009A5A70">
          <w:instrText xml:space="preserve"> PAGE   \* MERGEFORMAT </w:instrText>
        </w:r>
        <w:r w:rsidR="00DC7DCC">
          <w:fldChar w:fldCharType="separate"/>
        </w:r>
        <w:r w:rsidR="00AA709D">
          <w:rPr>
            <w:noProof/>
          </w:rPr>
          <w:t>1</w:t>
        </w:r>
        <w:r w:rsidR="00DC7DCC">
          <w:rPr>
            <w:noProof/>
          </w:rPr>
          <w:fldChar w:fldCharType="end"/>
        </w:r>
      </w:p>
    </w:sdtContent>
  </w:sdt>
  <w:p w:rsidR="009A5A70" w:rsidRDefault="009A5A70" w:rsidP="00076AFF">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641E1"/>
    <w:multiLevelType w:val="hybridMultilevel"/>
    <w:tmpl w:val="0DA27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2C00D5"/>
    <w:rsid w:val="000123BF"/>
    <w:rsid w:val="00056B4D"/>
    <w:rsid w:val="000635B5"/>
    <w:rsid w:val="00070332"/>
    <w:rsid w:val="00076AFF"/>
    <w:rsid w:val="000803B5"/>
    <w:rsid w:val="000B464D"/>
    <w:rsid w:val="000D09CA"/>
    <w:rsid w:val="00113019"/>
    <w:rsid w:val="001358B9"/>
    <w:rsid w:val="00140042"/>
    <w:rsid w:val="0015052B"/>
    <w:rsid w:val="00167F4B"/>
    <w:rsid w:val="00224578"/>
    <w:rsid w:val="00233783"/>
    <w:rsid w:val="00235B71"/>
    <w:rsid w:val="002C00D5"/>
    <w:rsid w:val="002C4027"/>
    <w:rsid w:val="002C7CB1"/>
    <w:rsid w:val="002F5FD2"/>
    <w:rsid w:val="00311F74"/>
    <w:rsid w:val="0031755E"/>
    <w:rsid w:val="00335A6C"/>
    <w:rsid w:val="00364BDC"/>
    <w:rsid w:val="003B1115"/>
    <w:rsid w:val="003B35E0"/>
    <w:rsid w:val="003F73F5"/>
    <w:rsid w:val="00404728"/>
    <w:rsid w:val="00413FEA"/>
    <w:rsid w:val="004341D7"/>
    <w:rsid w:val="004439ED"/>
    <w:rsid w:val="004C0137"/>
    <w:rsid w:val="0051755B"/>
    <w:rsid w:val="0053253C"/>
    <w:rsid w:val="00555B3F"/>
    <w:rsid w:val="005C212C"/>
    <w:rsid w:val="005C34B7"/>
    <w:rsid w:val="00657CFD"/>
    <w:rsid w:val="006819A4"/>
    <w:rsid w:val="006977FD"/>
    <w:rsid w:val="006A7BA1"/>
    <w:rsid w:val="006B2FA6"/>
    <w:rsid w:val="006E42F9"/>
    <w:rsid w:val="0071683D"/>
    <w:rsid w:val="00747E71"/>
    <w:rsid w:val="007737E8"/>
    <w:rsid w:val="00791BD4"/>
    <w:rsid w:val="007B36E3"/>
    <w:rsid w:val="007F61ED"/>
    <w:rsid w:val="00810F8D"/>
    <w:rsid w:val="0085087E"/>
    <w:rsid w:val="00850AC0"/>
    <w:rsid w:val="00855C1F"/>
    <w:rsid w:val="00886A4D"/>
    <w:rsid w:val="008B73C4"/>
    <w:rsid w:val="008C21FB"/>
    <w:rsid w:val="009344CC"/>
    <w:rsid w:val="009545C1"/>
    <w:rsid w:val="009601CD"/>
    <w:rsid w:val="00997D6D"/>
    <w:rsid w:val="009A5A70"/>
    <w:rsid w:val="009C6810"/>
    <w:rsid w:val="009D75ED"/>
    <w:rsid w:val="009E26C1"/>
    <w:rsid w:val="00A178D3"/>
    <w:rsid w:val="00A214ED"/>
    <w:rsid w:val="00A27BD3"/>
    <w:rsid w:val="00A964EC"/>
    <w:rsid w:val="00AA709D"/>
    <w:rsid w:val="00AB1DF9"/>
    <w:rsid w:val="00AD4A2E"/>
    <w:rsid w:val="00B22CF4"/>
    <w:rsid w:val="00B84615"/>
    <w:rsid w:val="00B90CE3"/>
    <w:rsid w:val="00B92B69"/>
    <w:rsid w:val="00BB3242"/>
    <w:rsid w:val="00C07F77"/>
    <w:rsid w:val="00C20159"/>
    <w:rsid w:val="00C2781E"/>
    <w:rsid w:val="00C46574"/>
    <w:rsid w:val="00C65FC1"/>
    <w:rsid w:val="00C70F1D"/>
    <w:rsid w:val="00C728D3"/>
    <w:rsid w:val="00C77007"/>
    <w:rsid w:val="00C94EAE"/>
    <w:rsid w:val="00CA1FC0"/>
    <w:rsid w:val="00CA5DE0"/>
    <w:rsid w:val="00CC552A"/>
    <w:rsid w:val="00CF1D7A"/>
    <w:rsid w:val="00CF310B"/>
    <w:rsid w:val="00D14A1C"/>
    <w:rsid w:val="00D45390"/>
    <w:rsid w:val="00DA349D"/>
    <w:rsid w:val="00DC5B5D"/>
    <w:rsid w:val="00DC7DCC"/>
    <w:rsid w:val="00E249C2"/>
    <w:rsid w:val="00E252CB"/>
    <w:rsid w:val="00E936C8"/>
    <w:rsid w:val="00ED01CD"/>
    <w:rsid w:val="00F164AA"/>
    <w:rsid w:val="00F17BA1"/>
    <w:rsid w:val="00F240CA"/>
    <w:rsid w:val="00F25C84"/>
    <w:rsid w:val="00F46C7D"/>
    <w:rsid w:val="00F61484"/>
    <w:rsid w:val="00F72674"/>
    <w:rsid w:val="00F84D59"/>
    <w:rsid w:val="00FB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D5"/>
  </w:style>
  <w:style w:type="paragraph" w:styleId="Heading1">
    <w:name w:val="heading 1"/>
    <w:basedOn w:val="Normal"/>
    <w:next w:val="Normal"/>
    <w:link w:val="Heading1Char"/>
    <w:uiPriority w:val="9"/>
    <w:qFormat/>
    <w:rsid w:val="006B2FA6"/>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AFF"/>
    <w:pPr>
      <w:tabs>
        <w:tab w:val="center" w:pos="4680"/>
        <w:tab w:val="right" w:pos="9360"/>
      </w:tabs>
      <w:spacing w:line="240" w:lineRule="auto"/>
    </w:pPr>
  </w:style>
  <w:style w:type="character" w:customStyle="1" w:styleId="HeaderChar">
    <w:name w:val="Header Char"/>
    <w:basedOn w:val="DefaultParagraphFont"/>
    <w:link w:val="Header"/>
    <w:uiPriority w:val="99"/>
    <w:rsid w:val="00076AFF"/>
  </w:style>
  <w:style w:type="paragraph" w:styleId="Footer">
    <w:name w:val="footer"/>
    <w:basedOn w:val="Normal"/>
    <w:link w:val="FooterChar"/>
    <w:uiPriority w:val="99"/>
    <w:unhideWhenUsed/>
    <w:rsid w:val="00076AFF"/>
    <w:pPr>
      <w:tabs>
        <w:tab w:val="center" w:pos="4680"/>
        <w:tab w:val="right" w:pos="9360"/>
      </w:tabs>
      <w:spacing w:line="240" w:lineRule="auto"/>
    </w:pPr>
  </w:style>
  <w:style w:type="character" w:customStyle="1" w:styleId="FooterChar">
    <w:name w:val="Footer Char"/>
    <w:basedOn w:val="DefaultParagraphFont"/>
    <w:link w:val="Footer"/>
    <w:uiPriority w:val="99"/>
    <w:rsid w:val="00076AFF"/>
  </w:style>
  <w:style w:type="paragraph" w:styleId="BalloonText">
    <w:name w:val="Balloon Text"/>
    <w:basedOn w:val="Normal"/>
    <w:link w:val="BalloonTextChar"/>
    <w:uiPriority w:val="99"/>
    <w:semiHidden/>
    <w:unhideWhenUsed/>
    <w:rsid w:val="00167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4B"/>
    <w:rPr>
      <w:rFonts w:ascii="Tahoma" w:hAnsi="Tahoma" w:cs="Tahoma"/>
      <w:sz w:val="16"/>
      <w:szCs w:val="16"/>
    </w:rPr>
  </w:style>
  <w:style w:type="character" w:styleId="Hyperlink">
    <w:name w:val="Hyperlink"/>
    <w:basedOn w:val="DefaultParagraphFont"/>
    <w:uiPriority w:val="99"/>
    <w:unhideWhenUsed/>
    <w:rsid w:val="00F240CA"/>
    <w:rPr>
      <w:color w:val="0000FF" w:themeColor="hyperlink"/>
      <w:u w:val="single"/>
    </w:rPr>
  </w:style>
  <w:style w:type="character" w:customStyle="1" w:styleId="Heading1Char">
    <w:name w:val="Heading 1 Char"/>
    <w:basedOn w:val="DefaultParagraphFont"/>
    <w:link w:val="Heading1"/>
    <w:uiPriority w:val="9"/>
    <w:rsid w:val="006B2FA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B2FA6"/>
  </w:style>
  <w:style w:type="paragraph" w:customStyle="1" w:styleId="tabledata">
    <w:name w:val="tabledata"/>
    <w:basedOn w:val="Normal"/>
    <w:rsid w:val="00C65FC1"/>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936C8"/>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C70F1D"/>
    <w:pPr>
      <w:ind w:left="720"/>
      <w:contextualSpacing/>
    </w:pPr>
  </w:style>
  <w:style w:type="character" w:styleId="CommentReference">
    <w:name w:val="annotation reference"/>
    <w:basedOn w:val="DefaultParagraphFont"/>
    <w:uiPriority w:val="99"/>
    <w:semiHidden/>
    <w:unhideWhenUsed/>
    <w:rsid w:val="00B92B69"/>
    <w:rPr>
      <w:sz w:val="16"/>
      <w:szCs w:val="16"/>
    </w:rPr>
  </w:style>
  <w:style w:type="paragraph" w:styleId="CommentText">
    <w:name w:val="annotation text"/>
    <w:basedOn w:val="Normal"/>
    <w:link w:val="CommentTextChar"/>
    <w:uiPriority w:val="99"/>
    <w:semiHidden/>
    <w:unhideWhenUsed/>
    <w:rsid w:val="00B92B69"/>
    <w:pPr>
      <w:spacing w:line="240" w:lineRule="auto"/>
    </w:pPr>
    <w:rPr>
      <w:sz w:val="20"/>
      <w:szCs w:val="20"/>
    </w:rPr>
  </w:style>
  <w:style w:type="character" w:customStyle="1" w:styleId="CommentTextChar">
    <w:name w:val="Comment Text Char"/>
    <w:basedOn w:val="DefaultParagraphFont"/>
    <w:link w:val="CommentText"/>
    <w:uiPriority w:val="99"/>
    <w:semiHidden/>
    <w:rsid w:val="00B92B69"/>
    <w:rPr>
      <w:sz w:val="20"/>
      <w:szCs w:val="20"/>
    </w:rPr>
  </w:style>
  <w:style w:type="paragraph" w:styleId="CommentSubject">
    <w:name w:val="annotation subject"/>
    <w:basedOn w:val="CommentText"/>
    <w:next w:val="CommentText"/>
    <w:link w:val="CommentSubjectChar"/>
    <w:uiPriority w:val="99"/>
    <w:semiHidden/>
    <w:unhideWhenUsed/>
    <w:rsid w:val="00B92B69"/>
    <w:rPr>
      <w:b/>
      <w:bCs/>
    </w:rPr>
  </w:style>
  <w:style w:type="character" w:customStyle="1" w:styleId="CommentSubjectChar">
    <w:name w:val="Comment Subject Char"/>
    <w:basedOn w:val="CommentTextChar"/>
    <w:link w:val="CommentSubject"/>
    <w:uiPriority w:val="99"/>
    <w:semiHidden/>
    <w:rsid w:val="00B92B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D5"/>
  </w:style>
  <w:style w:type="paragraph" w:styleId="Heading1">
    <w:name w:val="heading 1"/>
    <w:basedOn w:val="Normal"/>
    <w:next w:val="Normal"/>
    <w:link w:val="Heading1Char"/>
    <w:uiPriority w:val="9"/>
    <w:qFormat/>
    <w:rsid w:val="006B2FA6"/>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AFF"/>
    <w:pPr>
      <w:tabs>
        <w:tab w:val="center" w:pos="4680"/>
        <w:tab w:val="right" w:pos="9360"/>
      </w:tabs>
      <w:spacing w:line="240" w:lineRule="auto"/>
    </w:pPr>
  </w:style>
  <w:style w:type="character" w:customStyle="1" w:styleId="HeaderChar">
    <w:name w:val="Header Char"/>
    <w:basedOn w:val="DefaultParagraphFont"/>
    <w:link w:val="Header"/>
    <w:uiPriority w:val="99"/>
    <w:rsid w:val="00076AFF"/>
  </w:style>
  <w:style w:type="paragraph" w:styleId="Footer">
    <w:name w:val="footer"/>
    <w:basedOn w:val="Normal"/>
    <w:link w:val="FooterChar"/>
    <w:uiPriority w:val="99"/>
    <w:unhideWhenUsed/>
    <w:rsid w:val="00076AFF"/>
    <w:pPr>
      <w:tabs>
        <w:tab w:val="center" w:pos="4680"/>
        <w:tab w:val="right" w:pos="9360"/>
      </w:tabs>
      <w:spacing w:line="240" w:lineRule="auto"/>
    </w:pPr>
  </w:style>
  <w:style w:type="character" w:customStyle="1" w:styleId="FooterChar">
    <w:name w:val="Footer Char"/>
    <w:basedOn w:val="DefaultParagraphFont"/>
    <w:link w:val="Footer"/>
    <w:uiPriority w:val="99"/>
    <w:rsid w:val="00076AFF"/>
  </w:style>
  <w:style w:type="paragraph" w:styleId="BalloonText">
    <w:name w:val="Balloon Text"/>
    <w:basedOn w:val="Normal"/>
    <w:link w:val="BalloonTextChar"/>
    <w:uiPriority w:val="99"/>
    <w:semiHidden/>
    <w:unhideWhenUsed/>
    <w:rsid w:val="00167F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F4B"/>
    <w:rPr>
      <w:rFonts w:ascii="Tahoma" w:hAnsi="Tahoma" w:cs="Tahoma"/>
      <w:sz w:val="16"/>
      <w:szCs w:val="16"/>
    </w:rPr>
  </w:style>
  <w:style w:type="character" w:styleId="Hyperlink">
    <w:name w:val="Hyperlink"/>
    <w:basedOn w:val="DefaultParagraphFont"/>
    <w:uiPriority w:val="99"/>
    <w:unhideWhenUsed/>
    <w:rsid w:val="00F240CA"/>
    <w:rPr>
      <w:color w:val="0000FF" w:themeColor="hyperlink"/>
      <w:u w:val="single"/>
    </w:rPr>
  </w:style>
  <w:style w:type="character" w:customStyle="1" w:styleId="Heading1Char">
    <w:name w:val="Heading 1 Char"/>
    <w:basedOn w:val="DefaultParagraphFont"/>
    <w:link w:val="Heading1"/>
    <w:uiPriority w:val="9"/>
    <w:rsid w:val="006B2FA6"/>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6B2FA6"/>
  </w:style>
  <w:style w:type="paragraph" w:customStyle="1" w:styleId="tabledata">
    <w:name w:val="tabledata"/>
    <w:basedOn w:val="Normal"/>
    <w:rsid w:val="00C65FC1"/>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936C8"/>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C70F1D"/>
    <w:pPr>
      <w:ind w:left="720"/>
      <w:contextualSpacing/>
    </w:pPr>
  </w:style>
</w:styles>
</file>

<file path=word/webSettings.xml><?xml version="1.0" encoding="utf-8"?>
<w:webSettings xmlns:r="http://schemas.openxmlformats.org/officeDocument/2006/relationships" xmlns:w="http://schemas.openxmlformats.org/wordprocessingml/2006/main">
  <w:divs>
    <w:div w:id="171459690">
      <w:bodyDiv w:val="1"/>
      <w:marLeft w:val="0"/>
      <w:marRight w:val="0"/>
      <w:marTop w:val="0"/>
      <w:marBottom w:val="0"/>
      <w:divBdr>
        <w:top w:val="none" w:sz="0" w:space="0" w:color="auto"/>
        <w:left w:val="none" w:sz="0" w:space="0" w:color="auto"/>
        <w:bottom w:val="none" w:sz="0" w:space="0" w:color="auto"/>
        <w:right w:val="none" w:sz="0" w:space="0" w:color="auto"/>
      </w:divBdr>
    </w:div>
    <w:div w:id="571433163">
      <w:bodyDiv w:val="1"/>
      <w:marLeft w:val="0"/>
      <w:marRight w:val="0"/>
      <w:marTop w:val="0"/>
      <w:marBottom w:val="0"/>
      <w:divBdr>
        <w:top w:val="none" w:sz="0" w:space="0" w:color="auto"/>
        <w:left w:val="none" w:sz="0" w:space="0" w:color="auto"/>
        <w:bottom w:val="none" w:sz="0" w:space="0" w:color="auto"/>
        <w:right w:val="none" w:sz="0" w:space="0" w:color="auto"/>
      </w:divBdr>
    </w:div>
    <w:div w:id="186293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Mau10</b:Tag>
    <b:SourceType>Book</b:SourceType>
    <b:Guid>{8395282A-5BF0-43D0-8E79-2318A91365C6}</b:Guid>
    <b:Title>Gerontological nursing competencies for care</b:Title>
    <b:Year>2010</b:Year>
    <b:City>Sudbury, MA</b:City>
    <b:Publisher>Jones and Bartlett Publishers</b:Publisher>
    <b:Author>
      <b:Author>
        <b:NameList>
          <b:Person>
            <b:Last>Mauk</b:Last>
            <b:Middle>L.</b:Middle>
            <b:First>Kristen</b:First>
          </b:Person>
        </b:NameList>
      </b:Author>
    </b:Author>
    <b:RefOrder>3</b:RefOrder>
  </b:Source>
  <b:Source>
    <b:Tag>Nur12</b:Tag>
    <b:SourceType>Book</b:SourceType>
    <b:Guid>{CF295163-3CE6-4D0F-8424-943BBCE946DD}</b:Guid>
    <b:Title>Nursing Drug Handbook (32nd Ed.)</b:Title>
    <b:Year>2012</b:Year>
    <b:City>Philadelphia</b:City>
    <b:Publisher>Wolters Kluwer Health - Lippincott Williams and Wilkins </b:Publisher>
    <b:RefOrder>4</b:RefOrder>
  </b:Source>
  <b:Source>
    <b:Tag>Bow11</b:Tag>
    <b:SourceType>Book</b:SourceType>
    <b:Guid>{B85EEA1D-E3D8-42A4-ACA9-A12BC57D909A}</b:Guid>
    <b:Title>Gerontology Nursing Case Studies: 100 narratives for learning</b:Title>
    <b:Year>2011</b:Year>
    <b:City>New York</b:City>
    <b:Publisher>Springer Publiching Company, LLC</b:Publisher>
    <b:Author>
      <b:Author>
        <b:NameList>
          <b:Person>
            <b:Last>Bowles</b:Last>
            <b:First>Donna</b:First>
          </b:Person>
        </b:NameList>
      </b:Author>
    </b:Author>
    <b:RefOrder>5</b:RefOrder>
  </b:Source>
  <b:Source>
    <b:Tag>Sme10</b:Tag>
    <b:SourceType>Book</b:SourceType>
    <b:Guid>{4F1FA17E-B492-4421-B13C-63F6BD1BD1BE}</b:Guid>
    <b:Title>Brunner and Suddarth's textbook of medical-surgical nursing</b:Title>
    <b:Year>2010</b:Year>
    <b:City>Philadelphia</b:City>
    <b:Publisher>Wolters Kluwer Health/Lippincott Williams &amp; Wilkins</b:Publisher>
    <b:Author>
      <b:Author>
        <b:NameList>
          <b:Person>
            <b:Last>Smeltzer</b:Last>
            <b:First>Suzanne</b:First>
          </b:Person>
          <b:Person>
            <b:Last>Hinkle</b:Last>
            <b:First>Janice</b:First>
          </b:Person>
          <b:Person>
            <b:Last>Bare</b:Last>
            <b:First>Brenda</b:First>
          </b:Person>
          <b:Person>
            <b:Last>Cheever</b:Last>
            <b:First>Kerry</b:First>
          </b:Person>
        </b:NameList>
      </b:Author>
    </b:Author>
    <b:RefOrder>1</b:RefOrder>
  </b:Source>
  <b:Source>
    <b:Tag>Dow08</b:Tag>
    <b:SourceType>InternetSite</b:SourceType>
    <b:Guid>{7CB45C20-9A69-4D99-B770-4BD49FBA4242}</b:Guid>
    <b:Title>Nursing standard of practice protocol: Urinary incontinence (UI) in older adults admitted to acute care</b:Title>
    <b:InternetSiteTitle>The Hartfor Institute of Geriatric Nursing</b:InternetSiteTitle>
    <b:Year>2008</b:Year>
    <b:URL>http://consultgerirn.org/topics/urinary_incontinence/want_to_know_more#item_5 </b:URL>
    <b:Author>
      <b:Author>
        <b:NameList>
          <b:Person>
            <b:Last>Dowling-Castronovo</b:Last>
            <b:First>Annmarie</b:First>
          </b:Person>
          <b:Person>
            <b:Last>Bradway</b:Last>
            <b:First>Christing</b:First>
          </b:Person>
        </b:NameList>
      </b:Author>
    </b:Author>
    <b:RefOrder>2</b:RefOrder>
  </b:Source>
</b:Sources>
</file>

<file path=customXml/itemProps1.xml><?xml version="1.0" encoding="utf-8"?>
<ds:datastoreItem xmlns:ds="http://schemas.openxmlformats.org/officeDocument/2006/customXml" ds:itemID="{E2D19740-34D3-47E0-993A-A760730F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1290</Words>
  <Characters>7354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Low</dc:creator>
  <cp:lastModifiedBy>Mary</cp:lastModifiedBy>
  <cp:revision>2</cp:revision>
  <dcterms:created xsi:type="dcterms:W3CDTF">2012-04-08T13:22:00Z</dcterms:created>
  <dcterms:modified xsi:type="dcterms:W3CDTF">2012-04-08T13:22:00Z</dcterms:modified>
</cp:coreProperties>
</file>