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14F" w:rsidRDefault="00CB2004" w:rsidP="00CB2004">
      <w:pPr>
        <w:spacing w:after="0" w:line="480" w:lineRule="auto"/>
        <w:jc w:val="center"/>
        <w:rPr>
          <w:b/>
        </w:rPr>
      </w:pPr>
      <w:r w:rsidRPr="00CB2004">
        <w:rPr>
          <w:b/>
        </w:rPr>
        <w:t>Literature Review</w:t>
      </w:r>
    </w:p>
    <w:p w:rsidR="00CB2004" w:rsidRDefault="00CB2004" w:rsidP="00CB2004">
      <w:pPr>
        <w:spacing w:after="0" w:line="480" w:lineRule="auto"/>
        <w:rPr>
          <w:b/>
        </w:rPr>
      </w:pPr>
      <w:r>
        <w:rPr>
          <w:b/>
        </w:rPr>
        <w:t>First Article</w:t>
      </w:r>
    </w:p>
    <w:p w:rsidR="00CB2004" w:rsidRDefault="00CB2004" w:rsidP="00CB2004">
      <w:pPr>
        <w:spacing w:after="0" w:line="480" w:lineRule="auto"/>
      </w:pPr>
      <w:r>
        <w:tab/>
        <w:t xml:space="preserve">The first article is titled “Longitudinal evaluation of neonatal </w:t>
      </w:r>
      <w:r w:rsidR="000769E6">
        <w:t xml:space="preserve">nosocomial </w:t>
      </w:r>
      <w:r>
        <w:t xml:space="preserve">infections: association of infection with a blood pressure cuff” written by Martin Myers. The purpose of the article was to survey </w:t>
      </w:r>
      <w:r w:rsidR="000769E6">
        <w:t xml:space="preserve">nosocomial </w:t>
      </w:r>
      <w:r>
        <w:t>infections that were acquired in a special care nursery (Myers, 1978, p. 42). The methods included recording data about each infection and were “categorized as community or hospital acquired and as new or recorded previously (Myers, 1978, p. 42).”</w:t>
      </w:r>
    </w:p>
    <w:p w:rsidR="00CB2004" w:rsidRDefault="00CB2004" w:rsidP="00CB2004">
      <w:pPr>
        <w:spacing w:after="0" w:line="480" w:lineRule="auto"/>
      </w:pPr>
      <w:r>
        <w:tab/>
        <w:t xml:space="preserve">The results of the surveillance were astonishing. During a “21-week period of surveillance, 46 of the 248 infants at risk (18.5%) acquired 52 infections in the special care nursery area, giving a </w:t>
      </w:r>
      <w:r w:rsidR="000769E6">
        <w:t>n</w:t>
      </w:r>
      <w:r>
        <w:t>osocomial infection rate of 21% (Myers, 1978, p. 43).”</w:t>
      </w:r>
      <w:r w:rsidR="004D048D">
        <w:t xml:space="preserve"> Myers found that of the “ 248 infants, 54 died while in the special care nursery, 8 from causes related to their </w:t>
      </w:r>
      <w:r w:rsidR="000769E6">
        <w:t>n</w:t>
      </w:r>
      <w:r w:rsidR="004D048D">
        <w:t xml:space="preserve">osocomial infection…thus, the mortality from the </w:t>
      </w:r>
      <w:r w:rsidR="000769E6">
        <w:t>n</w:t>
      </w:r>
      <w:r w:rsidR="004D048D">
        <w:t xml:space="preserve">osocomial infection was 15.4%, and of those infants who died, one in seven died from causes attributable to a </w:t>
      </w:r>
      <w:r w:rsidR="000769E6">
        <w:t>n</w:t>
      </w:r>
      <w:r w:rsidR="004D048D">
        <w:t xml:space="preserve">osocomial infection (Myers, 1978, p. 43-44).” These findings were very significant and especially encouraging to the facility to look for the causes. </w:t>
      </w:r>
    </w:p>
    <w:p w:rsidR="004D048D" w:rsidRDefault="004D048D" w:rsidP="00CB2004">
      <w:pPr>
        <w:spacing w:after="0" w:line="480" w:lineRule="auto"/>
      </w:pPr>
      <w:r>
        <w:tab/>
        <w:t>During the weeks of the surveillance, the facility found the cause. They “observed that the Doppler blood pressure apparatus was used in all children in the special care nursery area (Myers, 1978, p. 44).”</w:t>
      </w:r>
      <w:r w:rsidR="00070431">
        <w:t xml:space="preserve"> The workers taking blood pressure would remove the transducer with attached bladder, clean </w:t>
      </w:r>
      <w:r w:rsidR="000769E6">
        <w:t>it,</w:t>
      </w:r>
      <w:r w:rsidR="00070431">
        <w:t xml:space="preserve"> and replace the same cuff back on the apparatus to take the next infants blood pressure (Myers, 1978, p. 44). Due to these findings, the use of a cotton blood pressure cuff was introduced on a single infant, and no infection occurred (Myers, 1978, p. 44). </w:t>
      </w:r>
    </w:p>
    <w:p w:rsidR="00C726D6" w:rsidRDefault="00070431" w:rsidP="00CB2004">
      <w:pPr>
        <w:spacing w:after="0" w:line="480" w:lineRule="auto"/>
      </w:pPr>
      <w:r>
        <w:tab/>
        <w:t xml:space="preserve">The surveillance study found that the outbreaks of </w:t>
      </w:r>
      <w:r w:rsidR="000769E6">
        <w:t>n</w:t>
      </w:r>
      <w:r>
        <w:t xml:space="preserve">osocomial infection were related to the blood pressure cuffs. They also found that </w:t>
      </w:r>
      <w:r w:rsidR="000769E6">
        <w:t>n</w:t>
      </w:r>
      <w:r>
        <w:t xml:space="preserve">osocomial infections were related to arterial </w:t>
      </w:r>
      <w:r>
        <w:lastRenderedPageBreak/>
        <w:t xml:space="preserve">pressure monitoring catheters, stethoscopes and various medical devices. Although the materials do not “penetrate the dermis, blood pressure cuffs are made of fabrics on which organisms may persist for significant periods of time (Myers, 1978, p. 45).” </w:t>
      </w:r>
      <w:r w:rsidR="00C726D6">
        <w:t xml:space="preserve">These results support the use of a new blood pressure cuff for each individual patient instead of sharing the same cuff with other patients. </w:t>
      </w:r>
    </w:p>
    <w:p w:rsidR="00C726D6" w:rsidRPr="000769E6" w:rsidRDefault="00C726D6" w:rsidP="00CB2004">
      <w:pPr>
        <w:spacing w:after="0" w:line="480" w:lineRule="auto"/>
        <w:rPr>
          <w:b/>
        </w:rPr>
      </w:pPr>
      <w:r w:rsidRPr="000769E6">
        <w:rPr>
          <w:b/>
        </w:rPr>
        <w:t>Second Article</w:t>
      </w:r>
    </w:p>
    <w:p w:rsidR="00C726D6" w:rsidRDefault="00C726D6" w:rsidP="00CB2004">
      <w:pPr>
        <w:spacing w:after="0" w:line="480" w:lineRule="auto"/>
      </w:pPr>
      <w:r>
        <w:tab/>
      </w:r>
      <w:r w:rsidR="000769E6">
        <w:t>The second article “Contamination, disinfection, and cross-colonization: are hospital surfaces reservoirs for nosocomial infection?” was written by Bala Hota. The purpose of the article is to discuss how “despite documentation that the inanimate hospital environment becomes contaminated with nosocomial pathogens, the data suggest that contaminated fomites lead to nosocomial infections (Hota, 2004, p. 1182).”</w:t>
      </w:r>
    </w:p>
    <w:p w:rsidR="00B03A57" w:rsidRDefault="00071D7F" w:rsidP="00CB2004">
      <w:pPr>
        <w:spacing w:after="0" w:line="480" w:lineRule="auto"/>
      </w:pPr>
      <w:r>
        <w:tab/>
        <w:t xml:space="preserve">The article discussed many important components of nosocomial infections. Hota conferred about how </w:t>
      </w:r>
      <w:r w:rsidRPr="00071D7F">
        <w:rPr>
          <w:i/>
        </w:rPr>
        <w:t>Clostridium difficile</w:t>
      </w:r>
      <w:r>
        <w:t xml:space="preserve"> (</w:t>
      </w:r>
      <w:r w:rsidRPr="00071D7F">
        <w:rPr>
          <w:i/>
        </w:rPr>
        <w:t>C. difficile</w:t>
      </w:r>
      <w:r>
        <w:t xml:space="preserve">) is resistant to normal cleaning methods meaning that even if staff cleans a blood pressure cuff with the assigned alcohol there may still a potential infectious organism present (Hota, 2004, p. 1184). Hota found that “contamination rates have been as high as 58%; commonly affected surfaces and equipment include commodes, bedpans, blood pressure cuffs, walls, floors, washbasins, and furniture (Hota, 2004, p. 1185).” </w:t>
      </w:r>
      <w:r>
        <w:tab/>
        <w:t>The article continued to discuss infection of Methicillin-resistant Staphylococcus aureus</w:t>
      </w:r>
      <w:r w:rsidR="00471E2E">
        <w:t xml:space="preserve"> (MRSA)</w:t>
      </w:r>
      <w:r>
        <w:t xml:space="preserve">. Hota found that </w:t>
      </w:r>
      <w:r w:rsidR="00471E2E">
        <w:t xml:space="preserve">the “inanimate environment of burn units tends to be more heavily contaminated than that of nonburn units: MRSA contamination rates range from 1% to 18% in nonburn wards to up to 64% in burn units (Hota, 2004, p. 1185).” Furthermore, both “MRSA and methicillin-susceptible </w:t>
      </w:r>
      <w:r w:rsidR="00471E2E" w:rsidRPr="00471E2E">
        <w:rPr>
          <w:i/>
        </w:rPr>
        <w:t>Staphylococcus aureus</w:t>
      </w:r>
      <w:r w:rsidR="00471E2E">
        <w:t xml:space="preserve"> have been found to be viable for as long as 9 </w:t>
      </w:r>
      <w:r w:rsidR="00471E2E">
        <w:lastRenderedPageBreak/>
        <w:t>weeks, despite drying, and have been found to survive on plastic laminate surfaces for up to 2 days (Hota, 2004, p. 1185).”</w:t>
      </w:r>
    </w:p>
    <w:p w:rsidR="00471E2E" w:rsidRDefault="00471E2E" w:rsidP="00CB2004">
      <w:pPr>
        <w:spacing w:after="0" w:line="480" w:lineRule="auto"/>
      </w:pPr>
      <w:r>
        <w:tab/>
        <w:t xml:space="preserve">The article concluded that there is a strong need for renewed cleaning methods and touched on the fact that hand hygiene compliance is poor. Hota believed that “the importance of understanding the role of inanimate environment derives from continued problems with compliance with infection control measures (Hota, 2004, p. 1187).” The issue of nosocomial infection is not limited to </w:t>
      </w:r>
      <w:proofErr w:type="spellStart"/>
      <w:r>
        <w:t>fomite</w:t>
      </w:r>
      <w:proofErr w:type="spellEnd"/>
      <w:r>
        <w:t xml:space="preserve"> transmission.</w:t>
      </w:r>
    </w:p>
    <w:p w:rsidR="00C726D6" w:rsidRPr="00E67B80" w:rsidRDefault="000769E6" w:rsidP="00CB2004">
      <w:pPr>
        <w:spacing w:after="0" w:line="480" w:lineRule="auto"/>
        <w:rPr>
          <w:b/>
        </w:rPr>
      </w:pPr>
      <w:r w:rsidRPr="00E67B80">
        <w:rPr>
          <w:b/>
        </w:rPr>
        <w:t>Third Article</w:t>
      </w:r>
    </w:p>
    <w:p w:rsidR="00E11460" w:rsidRDefault="00545457" w:rsidP="00CB2004">
      <w:pPr>
        <w:spacing w:after="0" w:line="480" w:lineRule="auto"/>
      </w:pPr>
      <w:r>
        <w:tab/>
        <w:t>The third article</w:t>
      </w:r>
      <w:r w:rsidR="00E67B80">
        <w:t xml:space="preserve"> “Design for life: rethinking everyday equipment is helping to combat hospital infections” by Anita </w:t>
      </w:r>
      <w:proofErr w:type="spellStart"/>
      <w:r w:rsidR="00E67B80">
        <w:t>Pati</w:t>
      </w:r>
      <w:proofErr w:type="spellEnd"/>
      <w:r w:rsidR="00E67B80">
        <w:t xml:space="preserve">. The purpose of this article is to inform nurses of the new developments in medical equipment that will help prevent the spread of infection. </w:t>
      </w:r>
      <w:proofErr w:type="spellStart"/>
      <w:r w:rsidR="00E67B80">
        <w:t>Pati</w:t>
      </w:r>
      <w:proofErr w:type="spellEnd"/>
      <w:r w:rsidR="00E67B80">
        <w:t xml:space="preserve"> </w:t>
      </w:r>
      <w:proofErr w:type="gramStart"/>
      <w:r w:rsidR="00E67B80">
        <w:t>explains</w:t>
      </w:r>
      <w:proofErr w:type="gramEnd"/>
      <w:r w:rsidR="00E67B80">
        <w:t xml:space="preserve"> “hospital infections such as C. difficile and MRSA can build up around grubby equipment (</w:t>
      </w:r>
      <w:proofErr w:type="spellStart"/>
      <w:r w:rsidR="00E67B80">
        <w:t>Pati</w:t>
      </w:r>
      <w:proofErr w:type="spellEnd"/>
      <w:r w:rsidR="00E67B80">
        <w:t xml:space="preserve">, 2010, p. 18).” </w:t>
      </w:r>
    </w:p>
    <w:p w:rsidR="00545457" w:rsidRDefault="00E11460" w:rsidP="00CB2004">
      <w:pPr>
        <w:spacing w:after="0" w:line="480" w:lineRule="auto"/>
      </w:pPr>
      <w:r>
        <w:tab/>
      </w:r>
      <w:r w:rsidR="00E67B80">
        <w:t>The article discusses how prototypes of new easy to clean equipment were designed. The project was called Design Bugs out, and it included various projects from</w:t>
      </w:r>
      <w:r>
        <w:t xml:space="preserve"> a</w:t>
      </w:r>
      <w:r w:rsidR="00E67B80">
        <w:t xml:space="preserve"> </w:t>
      </w:r>
      <w:r>
        <w:t>“</w:t>
      </w:r>
      <w:r w:rsidR="00E67B80">
        <w:t>mattress that change color when compromised by body fluids,</w:t>
      </w:r>
      <w:r>
        <w:t xml:space="preserve"> a curtain clip which uses a magnetic mechanism to provide an easily sanitized grab-zone, and a wipe able, polythene-covered blood pressure cuff with magnetic closures instead of Velcro fastenings (</w:t>
      </w:r>
      <w:proofErr w:type="spellStart"/>
      <w:r>
        <w:t>Pati</w:t>
      </w:r>
      <w:proofErr w:type="spellEnd"/>
      <w:r>
        <w:t>, 2010, p. 19).” The individuals involved in the development of the products included nurses and other staff as well as microbiologists (</w:t>
      </w:r>
      <w:proofErr w:type="spellStart"/>
      <w:r>
        <w:t>Pati</w:t>
      </w:r>
      <w:proofErr w:type="spellEnd"/>
      <w:r>
        <w:t>, 2010, p. 18).</w:t>
      </w:r>
    </w:p>
    <w:p w:rsidR="00471E2E" w:rsidRDefault="00E11460" w:rsidP="00CB2004">
      <w:pPr>
        <w:spacing w:after="0" w:line="480" w:lineRule="auto"/>
      </w:pPr>
      <w:r>
        <w:tab/>
        <w:t xml:space="preserve">The designs went over really well when the </w:t>
      </w:r>
      <w:r w:rsidR="00C6067B">
        <w:t xml:space="preserve">products </w:t>
      </w:r>
      <w:proofErr w:type="gramStart"/>
      <w:r w:rsidR="00C6067B">
        <w:t>were</w:t>
      </w:r>
      <w:r>
        <w:t xml:space="preserve"> presented</w:t>
      </w:r>
      <w:proofErr w:type="gramEnd"/>
      <w:r>
        <w:t xml:space="preserve">. Individuals expressed a high interest in the blood pressure cuff because the equipment can be difficult to clean between the crevices and difficult surface textures such as the Velcro. </w:t>
      </w:r>
      <w:proofErr w:type="spellStart"/>
      <w:r>
        <w:t>Pati</w:t>
      </w:r>
      <w:proofErr w:type="spellEnd"/>
      <w:r>
        <w:t xml:space="preserve"> believes the </w:t>
      </w:r>
      <w:r>
        <w:lastRenderedPageBreak/>
        <w:t>“bedside environment has stayed in a time warp that [and hopefully]</w:t>
      </w:r>
      <w:r w:rsidR="00C6067B">
        <w:t xml:space="preserve"> the project is about to change that (</w:t>
      </w:r>
      <w:proofErr w:type="spellStart"/>
      <w:r w:rsidR="00C6067B">
        <w:t>Pati</w:t>
      </w:r>
      <w:proofErr w:type="spellEnd"/>
      <w:r w:rsidR="00C6067B">
        <w:t xml:space="preserve">, 2010, p. 19).” With anticipation, the new product could change the infection rates acquired from blood pressure cuff.  </w:t>
      </w:r>
    </w:p>
    <w:p w:rsidR="00C6067B" w:rsidRPr="00C6067B" w:rsidRDefault="00C6067B" w:rsidP="00CB2004">
      <w:pPr>
        <w:spacing w:after="0" w:line="480" w:lineRule="auto"/>
        <w:rPr>
          <w:b/>
        </w:rPr>
      </w:pPr>
      <w:r w:rsidRPr="00C6067B">
        <w:rPr>
          <w:b/>
        </w:rPr>
        <w:t>Standard of Patient Care</w:t>
      </w:r>
    </w:p>
    <w:p w:rsidR="00C503C1" w:rsidRDefault="00B03A57" w:rsidP="00CB2004">
      <w:pPr>
        <w:spacing w:after="0" w:line="480" w:lineRule="auto"/>
      </w:pPr>
      <w:r>
        <w:tab/>
        <w:t xml:space="preserve">The facility where the change project is taking place does not have a current written standard of care. Therefore, the authors researched the national </w:t>
      </w:r>
      <w:r w:rsidR="00DE0A8F">
        <w:t>benchmark</w:t>
      </w:r>
      <w:r>
        <w:t xml:space="preserve"> written by the Center for Disease Control (CDC). </w:t>
      </w:r>
      <w:r w:rsidR="00C503C1">
        <w:t xml:space="preserve">The </w:t>
      </w:r>
      <w:r>
        <w:t xml:space="preserve">CDC </w:t>
      </w:r>
      <w:r w:rsidR="00C503C1">
        <w:t xml:space="preserve">standard for  changing blood pressure cuffs “in acute care hospitals and long-term care and other residential settings, use disposable noncritical patient-care equipment (e.g., blood pressure cuffs) or implement patient-dedicated use of such equipment </w:t>
      </w:r>
      <w:r w:rsidRPr="00B03A57">
        <w:rPr>
          <w:rFonts w:eastAsia="Times New Roman" w:cs="Times New Roman"/>
          <w:bCs/>
          <w:i/>
          <w:kern w:val="36"/>
          <w:szCs w:val="24"/>
        </w:rPr>
        <w:t xml:space="preserve"> </w:t>
      </w:r>
      <w:r>
        <w:rPr>
          <w:rFonts w:eastAsia="Times New Roman" w:cs="Times New Roman"/>
          <w:bCs/>
          <w:i/>
          <w:kern w:val="36"/>
          <w:szCs w:val="24"/>
        </w:rPr>
        <w:t>(</w:t>
      </w:r>
      <w:r w:rsidRPr="00C503C1">
        <w:rPr>
          <w:rFonts w:eastAsia="Times New Roman" w:cs="Times New Roman"/>
          <w:bCs/>
          <w:kern w:val="36"/>
          <w:szCs w:val="24"/>
        </w:rPr>
        <w:t>Precautions to Prevent the Spread of MRSA in Healthcare Setting</w:t>
      </w:r>
      <w:r w:rsidRPr="00B03A57">
        <w:rPr>
          <w:rFonts w:eastAsia="Times New Roman" w:cs="Times New Roman"/>
          <w:bCs/>
          <w:kern w:val="36"/>
          <w:szCs w:val="24"/>
        </w:rPr>
        <w:t>s</w:t>
      </w:r>
      <w:r w:rsidR="00DE0A8F">
        <w:t xml:space="preserve">, 2012) . </w:t>
      </w:r>
      <w:r w:rsidR="00C503C1">
        <w:t>They continue to explain that “if common use of equipment for multiple patients is unavoidable, clean and disinfect such equipment before use on another patient (</w:t>
      </w:r>
      <w:r w:rsidRPr="00C503C1">
        <w:rPr>
          <w:rFonts w:eastAsia="Times New Roman" w:cs="Times New Roman"/>
          <w:bCs/>
          <w:kern w:val="36"/>
          <w:szCs w:val="24"/>
        </w:rPr>
        <w:t>Precautions to Prevent the Spread of MRSA in Healthcare Setting</w:t>
      </w:r>
      <w:r w:rsidRPr="00B03A57">
        <w:rPr>
          <w:rFonts w:eastAsia="Times New Roman" w:cs="Times New Roman"/>
          <w:bCs/>
          <w:kern w:val="36"/>
          <w:szCs w:val="24"/>
        </w:rPr>
        <w:t>s,</w:t>
      </w:r>
      <w:r w:rsidR="00C503C1" w:rsidRPr="00B03A57">
        <w:t xml:space="preserve"> </w:t>
      </w:r>
      <w:r w:rsidR="00C503C1">
        <w:t>2012).”</w:t>
      </w:r>
    </w:p>
    <w:p w:rsidR="000769E6" w:rsidRPr="00C503C1" w:rsidRDefault="000769E6" w:rsidP="00C503C1">
      <w:pPr>
        <w:spacing w:after="0" w:line="480" w:lineRule="auto"/>
        <w:jc w:val="center"/>
        <w:rPr>
          <w:b/>
        </w:rPr>
      </w:pPr>
      <w:r w:rsidRPr="00C503C1">
        <w:rPr>
          <w:b/>
        </w:rPr>
        <w:t>Specific Indicators</w:t>
      </w:r>
    </w:p>
    <w:p w:rsidR="000769E6" w:rsidRDefault="000769E6" w:rsidP="00CB2004">
      <w:pPr>
        <w:spacing w:after="0" w:line="480" w:lineRule="auto"/>
      </w:pPr>
      <w:r>
        <w:tab/>
        <w:t xml:space="preserve">When considering indicators of this project more specifically those that will include the </w:t>
      </w:r>
      <w:r w:rsidR="00C503C1">
        <w:t>patients’</w:t>
      </w:r>
      <w:r>
        <w:t xml:space="preserve"> perception we cannot be limited to the </w:t>
      </w:r>
      <w:r w:rsidR="00C503C1">
        <w:t>patients’</w:t>
      </w:r>
      <w:r>
        <w:t xml:space="preserve"> senses.</w:t>
      </w:r>
      <w:r w:rsidR="00C503C1">
        <w:t xml:space="preserve"> This change project is to benefit and protect the patient in a way that they may not always perceive. Replacing a blood pressure cuff for each patient that is in a specific room does not always happen in front of them.</w:t>
      </w:r>
      <w:r w:rsidR="00B03A57">
        <w:t xml:space="preserve"> The objective of care for the patient will be to have them remain free of nosocomial infection during their hospital visit.</w:t>
      </w:r>
    </w:p>
    <w:p w:rsidR="00CB2004" w:rsidRPr="00CB2004" w:rsidRDefault="004D048D" w:rsidP="00CB2004">
      <w:pPr>
        <w:spacing w:after="0" w:line="480" w:lineRule="auto"/>
      </w:pPr>
      <w:r>
        <w:tab/>
      </w:r>
      <w:r w:rsidR="00B03A57">
        <w:t xml:space="preserve">The nursing staff will be tasked with documenting the change of the blood pressure cuff upon admission of the patient into the room. This documentation will be included in the </w:t>
      </w:r>
      <w:r w:rsidR="00B03A57">
        <w:lastRenderedPageBreak/>
        <w:t xml:space="preserve">admission assessment. Therefore, the facility will know if quality care was given by reviewing the documentation on the admission assessment in the patients chart. </w:t>
      </w: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C6067B" w:rsidRDefault="00C6067B" w:rsidP="00CB2004">
      <w:pPr>
        <w:spacing w:after="0"/>
        <w:jc w:val="center"/>
      </w:pPr>
    </w:p>
    <w:p w:rsidR="00B7014F" w:rsidRDefault="00B7014F" w:rsidP="00CB2004">
      <w:pPr>
        <w:spacing w:after="0"/>
        <w:jc w:val="center"/>
      </w:pPr>
      <w:r>
        <w:lastRenderedPageBreak/>
        <w:t>References</w:t>
      </w:r>
    </w:p>
    <w:p w:rsidR="00C6067B" w:rsidRDefault="00C6067B" w:rsidP="00CB2004">
      <w:pPr>
        <w:spacing w:after="0"/>
        <w:jc w:val="center"/>
      </w:pPr>
    </w:p>
    <w:p w:rsidR="0093588B" w:rsidRDefault="0093588B">
      <w:proofErr w:type="spellStart"/>
      <w:r>
        <w:t>Hota</w:t>
      </w:r>
      <w:proofErr w:type="spellEnd"/>
      <w:r>
        <w:t xml:space="preserve">, B. (2004). Contamination, Disinfection, and Cross-Colonization: Are Hospital Surfaces </w:t>
      </w:r>
      <w:r>
        <w:tab/>
        <w:t xml:space="preserve">Reservoirs for </w:t>
      </w:r>
      <w:r w:rsidR="000769E6">
        <w:t>n</w:t>
      </w:r>
      <w:r>
        <w:t xml:space="preserve">osocomial Infection?. </w:t>
      </w:r>
      <w:r>
        <w:rPr>
          <w:i/>
          <w:iCs/>
        </w:rPr>
        <w:t>Clinical Infectious Diseases</w:t>
      </w:r>
      <w:r>
        <w:t xml:space="preserve">, </w:t>
      </w:r>
      <w:r>
        <w:rPr>
          <w:i/>
          <w:iCs/>
        </w:rPr>
        <w:t>39</w:t>
      </w:r>
      <w:r>
        <w:t>(8), 1182-1189.</w:t>
      </w:r>
    </w:p>
    <w:p w:rsidR="00D925AF" w:rsidRDefault="00C14D1F">
      <w:r>
        <w:t xml:space="preserve">Myers, M. G. (1978). Longitudinal Evaluation of Neonatal Nosocomial Infections: Association </w:t>
      </w:r>
      <w:r>
        <w:tab/>
        <w:t xml:space="preserve">of Infection With a Blood Pressure Cuff. </w:t>
      </w:r>
      <w:r>
        <w:rPr>
          <w:i/>
          <w:iCs/>
        </w:rPr>
        <w:t>Pediatrics</w:t>
      </w:r>
      <w:r>
        <w:t xml:space="preserve">, </w:t>
      </w:r>
      <w:r>
        <w:rPr>
          <w:i/>
          <w:iCs/>
        </w:rPr>
        <w:t>61</w:t>
      </w:r>
      <w:r>
        <w:t>(1), 42</w:t>
      </w:r>
    </w:p>
    <w:p w:rsidR="00545457" w:rsidRDefault="00545457">
      <w:proofErr w:type="spellStart"/>
      <w:r>
        <w:t>Pati</w:t>
      </w:r>
      <w:proofErr w:type="spellEnd"/>
      <w:r>
        <w:t xml:space="preserve">, A. (2010). Design for life. </w:t>
      </w:r>
      <w:r>
        <w:rPr>
          <w:i/>
          <w:iCs/>
        </w:rPr>
        <w:t>Nursing Standard</w:t>
      </w:r>
      <w:r>
        <w:t xml:space="preserve">, </w:t>
      </w:r>
      <w:r>
        <w:rPr>
          <w:i/>
          <w:iCs/>
        </w:rPr>
        <w:t>24</w:t>
      </w:r>
      <w:r>
        <w:t>(29), 18-19</w:t>
      </w:r>
    </w:p>
    <w:p w:rsidR="00C14D1F" w:rsidRDefault="00B03A57">
      <w:r w:rsidRPr="00C503C1">
        <w:rPr>
          <w:rFonts w:eastAsia="Times New Roman" w:cs="Times New Roman"/>
          <w:bCs/>
          <w:i/>
          <w:kern w:val="36"/>
          <w:szCs w:val="24"/>
        </w:rPr>
        <w:t>Precautions to Prevent the Spread of MRSA in Healthcare Setting</w:t>
      </w:r>
      <w:r>
        <w:rPr>
          <w:rFonts w:eastAsia="Times New Roman" w:cs="Times New Roman"/>
          <w:bCs/>
          <w:i/>
          <w:kern w:val="36"/>
          <w:szCs w:val="24"/>
        </w:rPr>
        <w:t>s</w:t>
      </w:r>
      <w:proofErr w:type="gramStart"/>
      <w:r>
        <w:rPr>
          <w:rFonts w:eastAsia="Times New Roman" w:cs="Times New Roman"/>
          <w:bCs/>
          <w:i/>
          <w:kern w:val="36"/>
          <w:szCs w:val="24"/>
        </w:rPr>
        <w:t>.</w:t>
      </w:r>
      <w:r>
        <w:rPr>
          <w:rFonts w:eastAsia="Times New Roman" w:cs="Times New Roman"/>
          <w:bCs/>
          <w:kern w:val="36"/>
          <w:szCs w:val="24"/>
        </w:rPr>
        <w:t>(</w:t>
      </w:r>
      <w:proofErr w:type="gramEnd"/>
      <w:r>
        <w:rPr>
          <w:rFonts w:eastAsia="Times New Roman" w:cs="Times New Roman"/>
          <w:bCs/>
          <w:kern w:val="36"/>
          <w:szCs w:val="24"/>
        </w:rPr>
        <w:t xml:space="preserve">2012). Centers for Disease </w:t>
      </w:r>
      <w:r>
        <w:rPr>
          <w:rFonts w:eastAsia="Times New Roman" w:cs="Times New Roman"/>
          <w:bCs/>
          <w:kern w:val="36"/>
          <w:szCs w:val="24"/>
        </w:rPr>
        <w:tab/>
        <w:t xml:space="preserve">Control and Prevention. </w:t>
      </w:r>
      <w:r w:rsidRPr="00C503C1">
        <w:rPr>
          <w:rFonts w:eastAsia="Times New Roman" w:cs="Times New Roman"/>
          <w:bCs/>
          <w:kern w:val="36"/>
          <w:szCs w:val="24"/>
        </w:rPr>
        <w:t>http://www.cdc.gov/mrsa/prevent/healthcare/precautions.html</w:t>
      </w:r>
    </w:p>
    <w:sectPr w:rsidR="00C14D1F" w:rsidSect="00B7014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F13" w:rsidRDefault="00E00F13" w:rsidP="00B7014F">
      <w:pPr>
        <w:spacing w:after="0" w:line="240" w:lineRule="auto"/>
      </w:pPr>
      <w:r>
        <w:separator/>
      </w:r>
    </w:p>
  </w:endnote>
  <w:endnote w:type="continuationSeparator" w:id="0">
    <w:p w:rsidR="00E00F13" w:rsidRDefault="00E00F13" w:rsidP="00B70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F13" w:rsidRDefault="00E00F13" w:rsidP="00B7014F">
      <w:pPr>
        <w:spacing w:after="0" w:line="240" w:lineRule="auto"/>
      </w:pPr>
      <w:r>
        <w:separator/>
      </w:r>
    </w:p>
  </w:footnote>
  <w:footnote w:type="continuationSeparator" w:id="0">
    <w:p w:rsidR="00E00F13" w:rsidRDefault="00E00F13" w:rsidP="00B701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60" w:rsidRDefault="00E11460">
    <w:pPr>
      <w:pStyle w:val="Header"/>
      <w:jc w:val="right"/>
    </w:pPr>
    <w:r>
      <w:t>CHANGE PROJECT</w:t>
    </w:r>
    <w:r>
      <w:tab/>
    </w:r>
    <w:r>
      <w:tab/>
    </w:r>
    <w:sdt>
      <w:sdtPr>
        <w:id w:val="30155374"/>
        <w:docPartObj>
          <w:docPartGallery w:val="Page Numbers (Top of Page)"/>
          <w:docPartUnique/>
        </w:docPartObj>
      </w:sdtPr>
      <w:sdtContent>
        <w:fldSimple w:instr=" PAGE   \* MERGEFORMAT ">
          <w:r w:rsidR="00C6067B">
            <w:rPr>
              <w:noProof/>
            </w:rPr>
            <w:t>2</w:t>
          </w:r>
        </w:fldSimple>
      </w:sdtContent>
    </w:sdt>
  </w:p>
  <w:p w:rsidR="00E11460" w:rsidRDefault="00E114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60" w:rsidRDefault="00E11460">
    <w:pPr>
      <w:pStyle w:val="Header"/>
      <w:jc w:val="right"/>
    </w:pPr>
    <w:r>
      <w:t>Running head: CHANGE PROJECT</w:t>
    </w:r>
    <w:r>
      <w:tab/>
    </w:r>
    <w:r>
      <w:tab/>
    </w:r>
    <w:sdt>
      <w:sdtPr>
        <w:id w:val="30155344"/>
        <w:docPartObj>
          <w:docPartGallery w:val="Page Numbers (Top of Page)"/>
          <w:docPartUnique/>
        </w:docPartObj>
      </w:sdtPr>
      <w:sdtContent>
        <w:fldSimple w:instr=" PAGE   \* MERGEFORMAT ">
          <w:r w:rsidR="00C6067B">
            <w:rPr>
              <w:noProof/>
            </w:rPr>
            <w:t>1</w:t>
          </w:r>
        </w:fldSimple>
      </w:sdtContent>
    </w:sdt>
  </w:p>
  <w:p w:rsidR="00E11460" w:rsidRDefault="00E114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14D1F"/>
    <w:rsid w:val="00070431"/>
    <w:rsid w:val="00071D7F"/>
    <w:rsid w:val="000769E6"/>
    <w:rsid w:val="002A6CEA"/>
    <w:rsid w:val="00326CBE"/>
    <w:rsid w:val="00471E2E"/>
    <w:rsid w:val="004D048D"/>
    <w:rsid w:val="00545457"/>
    <w:rsid w:val="008C3B6E"/>
    <w:rsid w:val="0092461F"/>
    <w:rsid w:val="0093588B"/>
    <w:rsid w:val="00B03A57"/>
    <w:rsid w:val="00B7014F"/>
    <w:rsid w:val="00BD061D"/>
    <w:rsid w:val="00C14D1F"/>
    <w:rsid w:val="00C503C1"/>
    <w:rsid w:val="00C6067B"/>
    <w:rsid w:val="00C726D6"/>
    <w:rsid w:val="00CA7C03"/>
    <w:rsid w:val="00CB2004"/>
    <w:rsid w:val="00D860F0"/>
    <w:rsid w:val="00D925AF"/>
    <w:rsid w:val="00DE0A8F"/>
    <w:rsid w:val="00E00F13"/>
    <w:rsid w:val="00E11460"/>
    <w:rsid w:val="00E67B80"/>
    <w:rsid w:val="00F34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AF"/>
  </w:style>
  <w:style w:type="paragraph" w:styleId="Heading1">
    <w:name w:val="heading 1"/>
    <w:basedOn w:val="Normal"/>
    <w:link w:val="Heading1Char"/>
    <w:uiPriority w:val="9"/>
    <w:qFormat/>
    <w:rsid w:val="00C503C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14F"/>
  </w:style>
  <w:style w:type="paragraph" w:styleId="Footer">
    <w:name w:val="footer"/>
    <w:basedOn w:val="Normal"/>
    <w:link w:val="FooterChar"/>
    <w:uiPriority w:val="99"/>
    <w:semiHidden/>
    <w:unhideWhenUsed/>
    <w:rsid w:val="00B701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014F"/>
  </w:style>
  <w:style w:type="character" w:customStyle="1" w:styleId="Heading1Char">
    <w:name w:val="Heading 1 Char"/>
    <w:basedOn w:val="DefaultParagraphFont"/>
    <w:link w:val="Heading1"/>
    <w:uiPriority w:val="9"/>
    <w:rsid w:val="00C503C1"/>
    <w:rPr>
      <w:rFonts w:eastAsia="Times New Roman" w:cs="Times New Roman"/>
      <w:b/>
      <w:bCs/>
      <w:kern w:val="36"/>
      <w:sz w:val="48"/>
      <w:szCs w:val="48"/>
    </w:rPr>
  </w:style>
  <w:style w:type="character" w:styleId="Hyperlink">
    <w:name w:val="Hyperlink"/>
    <w:basedOn w:val="DefaultParagraphFont"/>
    <w:uiPriority w:val="99"/>
    <w:unhideWhenUsed/>
    <w:rsid w:val="00C503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7192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Kropschot</dc:creator>
  <cp:lastModifiedBy>Katherine Kropschot</cp:lastModifiedBy>
  <cp:revision>6</cp:revision>
  <dcterms:created xsi:type="dcterms:W3CDTF">2012-03-20T21:26:00Z</dcterms:created>
  <dcterms:modified xsi:type="dcterms:W3CDTF">2012-03-21T04:34:00Z</dcterms:modified>
</cp:coreProperties>
</file>