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5E" w:rsidRDefault="005E2A5E" w:rsidP="005E2A5E">
      <w:pPr>
        <w:spacing w:after="0" w:line="360" w:lineRule="auto"/>
        <w:rPr>
          <w:rFonts w:ascii="Arial" w:eastAsia="MS Mincho" w:hAnsi="Arial" w:cs="Arial"/>
          <w:b/>
          <w:sz w:val="26"/>
          <w:szCs w:val="26"/>
        </w:rPr>
      </w:pPr>
      <w:r>
        <w:rPr>
          <w:rFonts w:ascii="Arial" w:eastAsia="MS Mincho" w:hAnsi="Arial" w:cs="Arial"/>
          <w:b/>
          <w:sz w:val="26"/>
          <w:szCs w:val="26"/>
        </w:rPr>
        <w:t>Cassie’s OB part:</w:t>
      </w:r>
      <w:bookmarkStart w:id="0" w:name="_GoBack"/>
      <w:bookmarkEnd w:id="0"/>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Types of contraception and contraindications for each type (pg. 85-91)</w:t>
      </w:r>
    </w:p>
    <w:p w:rsidR="005E2A5E" w:rsidRPr="005E2A5E" w:rsidRDefault="005E2A5E" w:rsidP="005E2A5E">
      <w:pPr>
        <w:spacing w:after="0" w:line="360" w:lineRule="auto"/>
        <w:rPr>
          <w:rFonts w:ascii="Arial" w:eastAsia="MS Mincho" w:hAnsi="Arial" w:cs="Arial"/>
          <w:sz w:val="26"/>
          <w:szCs w:val="26"/>
        </w:rPr>
      </w:pPr>
      <w:r w:rsidRPr="005E2A5E">
        <w:rPr>
          <w:rFonts w:ascii="Arial" w:eastAsia="MS Mincho" w:hAnsi="Arial" w:cs="Arial"/>
          <w:b/>
          <w:sz w:val="26"/>
          <w:szCs w:val="26"/>
        </w:rPr>
        <w:sym w:font="Wingdings" w:char="F0E0"/>
      </w:r>
      <w:r w:rsidRPr="005E2A5E">
        <w:rPr>
          <w:rFonts w:ascii="Arial" w:eastAsia="MS Mincho" w:hAnsi="Arial" w:cs="Arial"/>
          <w:sz w:val="26"/>
          <w:szCs w:val="26"/>
        </w:rPr>
        <w:t>Barrier methods:</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 xml:space="preserve">Male condom </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Contraindications: If male or partner are allergic to latex.</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Female Condom</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Contraindications: latex allergy</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Diaphragm</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 xml:space="preserve">Contraindications: Allergy to latex, </w:t>
      </w:r>
      <w:proofErr w:type="spellStart"/>
      <w:r w:rsidRPr="005E2A5E">
        <w:rPr>
          <w:rFonts w:ascii="Arial" w:eastAsia="MS Mincho" w:hAnsi="Arial" w:cs="Arial"/>
          <w:sz w:val="26"/>
          <w:szCs w:val="26"/>
        </w:rPr>
        <w:t>hx</w:t>
      </w:r>
      <w:proofErr w:type="spellEnd"/>
      <w:r w:rsidRPr="005E2A5E">
        <w:rPr>
          <w:rFonts w:ascii="Arial" w:eastAsia="MS Mincho" w:hAnsi="Arial" w:cs="Arial"/>
          <w:sz w:val="26"/>
          <w:szCs w:val="26"/>
        </w:rPr>
        <w:t xml:space="preserve"> of UTIs, </w:t>
      </w:r>
      <w:proofErr w:type="spellStart"/>
      <w:r w:rsidRPr="005E2A5E">
        <w:rPr>
          <w:rFonts w:ascii="Arial" w:eastAsia="MS Mincho" w:hAnsi="Arial" w:cs="Arial"/>
          <w:sz w:val="26"/>
          <w:szCs w:val="26"/>
        </w:rPr>
        <w:t>hx</w:t>
      </w:r>
      <w:proofErr w:type="spellEnd"/>
      <w:r w:rsidRPr="005E2A5E">
        <w:rPr>
          <w:rFonts w:ascii="Arial" w:eastAsia="MS Mincho" w:hAnsi="Arial" w:cs="Arial"/>
          <w:sz w:val="26"/>
          <w:szCs w:val="26"/>
        </w:rPr>
        <w:t xml:space="preserve"> of toxic shock syndrome, menstrual periods, abnormal vaginal discharge.</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Cervical caps</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Contraindications: Same as for Diaphragm</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Vaginal sponge</w:t>
      </w:r>
    </w:p>
    <w:p w:rsidR="005E2A5E" w:rsidRPr="005E2A5E" w:rsidRDefault="005E2A5E" w:rsidP="005E2A5E">
      <w:pPr>
        <w:numPr>
          <w:ilvl w:val="0"/>
          <w:numId w:val="1"/>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Intrauterine devices (IUDs)</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Contraindications: Allergy to copper, current pregnancy, or current STI or pelvic infection.</w:t>
      </w:r>
    </w:p>
    <w:p w:rsidR="005E2A5E" w:rsidRPr="005E2A5E" w:rsidRDefault="005E2A5E" w:rsidP="005E2A5E">
      <w:pPr>
        <w:spacing w:after="0" w:line="360" w:lineRule="auto"/>
        <w:rPr>
          <w:rFonts w:ascii="Arial" w:eastAsia="MS Mincho" w:hAnsi="Arial" w:cs="Arial"/>
          <w:sz w:val="26"/>
          <w:szCs w:val="26"/>
        </w:rPr>
      </w:pPr>
      <w:r w:rsidRPr="005E2A5E">
        <w:rPr>
          <w:rFonts w:ascii="Arial" w:eastAsia="MS Mincho" w:hAnsi="Arial" w:cs="Arial"/>
          <w:sz w:val="26"/>
          <w:szCs w:val="26"/>
        </w:rPr>
        <w:sym w:font="Wingdings" w:char="F0E0"/>
      </w:r>
      <w:r w:rsidRPr="005E2A5E">
        <w:rPr>
          <w:rFonts w:ascii="Arial" w:eastAsia="MS Mincho" w:hAnsi="Arial" w:cs="Arial"/>
          <w:sz w:val="26"/>
          <w:szCs w:val="26"/>
        </w:rPr>
        <w:t>Hormonal contraceptives</w:t>
      </w:r>
    </w:p>
    <w:p w:rsidR="005E2A5E" w:rsidRPr="005E2A5E" w:rsidRDefault="005E2A5E" w:rsidP="005E2A5E">
      <w:pPr>
        <w:numPr>
          <w:ilvl w:val="0"/>
          <w:numId w:val="3"/>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Combined oral contraceptives</w:t>
      </w:r>
    </w:p>
    <w:p w:rsidR="005E2A5E" w:rsidRPr="005E2A5E" w:rsidRDefault="005E2A5E" w:rsidP="005E2A5E">
      <w:pPr>
        <w:numPr>
          <w:ilvl w:val="0"/>
          <w:numId w:val="2"/>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 xml:space="preserve">Contraindications: previous </w:t>
      </w:r>
      <w:proofErr w:type="spellStart"/>
      <w:r w:rsidRPr="005E2A5E">
        <w:rPr>
          <w:rFonts w:ascii="Arial" w:eastAsia="MS Mincho" w:hAnsi="Arial" w:cs="Arial"/>
          <w:sz w:val="26"/>
          <w:szCs w:val="26"/>
        </w:rPr>
        <w:t>hx</w:t>
      </w:r>
      <w:proofErr w:type="spellEnd"/>
      <w:r w:rsidRPr="005E2A5E">
        <w:rPr>
          <w:rFonts w:ascii="Arial" w:eastAsia="MS Mincho" w:hAnsi="Arial" w:cs="Arial"/>
          <w:sz w:val="26"/>
          <w:szCs w:val="26"/>
        </w:rPr>
        <w:t xml:space="preserve"> of thromboembolic disease, acute or chronic liver disease, presence of estrogen-dependent carcinomas, undiagnosed uterine bleeding, heavy smoking, gallbladder disease, hypertension, diabetes, </w:t>
      </w:r>
      <w:proofErr w:type="spellStart"/>
      <w:r w:rsidRPr="005E2A5E">
        <w:rPr>
          <w:rFonts w:ascii="Arial" w:eastAsia="MS Mincho" w:hAnsi="Arial" w:cs="Arial"/>
          <w:sz w:val="26"/>
          <w:szCs w:val="26"/>
        </w:rPr>
        <w:t>hypercoagulable</w:t>
      </w:r>
      <w:proofErr w:type="spellEnd"/>
      <w:r w:rsidRPr="005E2A5E">
        <w:rPr>
          <w:rFonts w:ascii="Arial" w:eastAsia="MS Mincho" w:hAnsi="Arial" w:cs="Arial"/>
          <w:sz w:val="26"/>
          <w:szCs w:val="26"/>
        </w:rPr>
        <w:t xml:space="preserve"> disorders, hyperlipidemia, migraine with visual </w:t>
      </w:r>
      <w:proofErr w:type="spellStart"/>
      <w:r w:rsidRPr="005E2A5E">
        <w:rPr>
          <w:rFonts w:ascii="Arial" w:eastAsia="MS Mincho" w:hAnsi="Arial" w:cs="Arial"/>
          <w:sz w:val="26"/>
          <w:szCs w:val="26"/>
        </w:rPr>
        <w:t>distrubances</w:t>
      </w:r>
      <w:proofErr w:type="spellEnd"/>
      <w:r w:rsidRPr="005E2A5E">
        <w:rPr>
          <w:rFonts w:ascii="Arial" w:eastAsia="MS Mincho" w:hAnsi="Arial" w:cs="Arial"/>
          <w:sz w:val="26"/>
          <w:szCs w:val="26"/>
        </w:rPr>
        <w:t>.</w:t>
      </w:r>
    </w:p>
    <w:p w:rsidR="005E2A5E" w:rsidRPr="005E2A5E" w:rsidRDefault="005E2A5E" w:rsidP="005E2A5E">
      <w:pPr>
        <w:numPr>
          <w:ilvl w:val="0"/>
          <w:numId w:val="3"/>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Transdermal hormonal contraception</w:t>
      </w:r>
    </w:p>
    <w:p w:rsidR="005E2A5E" w:rsidRPr="005E2A5E" w:rsidRDefault="005E2A5E" w:rsidP="005E2A5E">
      <w:pPr>
        <w:numPr>
          <w:ilvl w:val="0"/>
          <w:numId w:val="3"/>
        </w:numPr>
        <w:spacing w:after="0" w:line="360" w:lineRule="auto"/>
        <w:contextualSpacing/>
        <w:rPr>
          <w:rFonts w:ascii="Arial" w:eastAsia="MS Mincho" w:hAnsi="Arial" w:cs="Arial"/>
          <w:sz w:val="26"/>
          <w:szCs w:val="26"/>
        </w:rPr>
      </w:pPr>
      <w:r w:rsidRPr="005E2A5E">
        <w:rPr>
          <w:rFonts w:ascii="Arial" w:eastAsia="MS Mincho" w:hAnsi="Arial" w:cs="Arial"/>
          <w:sz w:val="26"/>
          <w:szCs w:val="26"/>
        </w:rPr>
        <w:t>Vaginal contraceptive ring</w:t>
      </w:r>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Menstrual cycles (pg. 62-63)</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lastRenderedPageBreak/>
        <w:t>Cycle Length:</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Cycle length is determined from the first day of one menses to the first day of the next menses. Cycle length may be irregular. Once established the cycle is about 28 to 30 days but the normal length may vary from 21 to 35 days.</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Amount of flow:</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The average amount of flow is approximately 25 to 60 ml per period. Usually women characterize the amount of flow in terms of the number of pads or tampons used. Flow is often heavier at first and lighter toward the end of the period.</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Length of menses:</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Menses usually lasts from 3 to 5 days although the length may vary, and may last up to 7 days.</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Barriers/Protection</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Pads and tampons</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Vaginal sprays and douching is unnecessary and is not recommended.</w:t>
      </w:r>
    </w:p>
    <w:p w:rsidR="005E2A5E" w:rsidRPr="005E2A5E" w:rsidRDefault="005E2A5E" w:rsidP="005E2A5E">
      <w:pPr>
        <w:numPr>
          <w:ilvl w:val="0"/>
          <w:numId w:val="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Cleansing the perineum</w:t>
      </w:r>
    </w:p>
    <w:p w:rsidR="005E2A5E" w:rsidRPr="005E2A5E" w:rsidRDefault="005E2A5E" w:rsidP="005E2A5E">
      <w:pPr>
        <w:numPr>
          <w:ilvl w:val="0"/>
          <w:numId w:val="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Keeping one’s skin clean and free of bacteria with plain soap and water is the most effective method of controlling odor. Bathing is as important during menses as at any other time. Also, a long leisurely soak in a warm tub may help relieve craps.</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Associated Menstrual Conditions</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Amenorrhea is the absence of menses.</w:t>
      </w:r>
    </w:p>
    <w:p w:rsidR="005E2A5E" w:rsidRPr="005E2A5E" w:rsidRDefault="005E2A5E" w:rsidP="005E2A5E">
      <w:pPr>
        <w:numPr>
          <w:ilvl w:val="0"/>
          <w:numId w:val="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Primary amenorrhea is said to occur if menstruation has not been established by 16 years of age.</w:t>
      </w:r>
    </w:p>
    <w:p w:rsidR="005E2A5E" w:rsidRPr="005E2A5E" w:rsidRDefault="005E2A5E" w:rsidP="005E2A5E">
      <w:pPr>
        <w:numPr>
          <w:ilvl w:val="0"/>
          <w:numId w:val="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lastRenderedPageBreak/>
        <w:t>Secondary amenorrhea is said to occur when an established menses (of longer than 3 months) ceases.</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Dysmenorrhea or painful menstruation.</w:t>
      </w:r>
    </w:p>
    <w:p w:rsidR="005E2A5E" w:rsidRPr="005E2A5E" w:rsidRDefault="005E2A5E" w:rsidP="005E2A5E">
      <w:pPr>
        <w:numPr>
          <w:ilvl w:val="0"/>
          <w:numId w:val="8"/>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Occurs at or a day before the onset of menstruation and disappears by the end of menses. Dysmenorrhea is classified as primary or secondary.</w:t>
      </w:r>
    </w:p>
    <w:p w:rsidR="005E2A5E" w:rsidRPr="005E2A5E" w:rsidRDefault="005E2A5E" w:rsidP="005E2A5E">
      <w:pPr>
        <w:numPr>
          <w:ilvl w:val="0"/>
          <w:numId w:val="8"/>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Primary dysmenorrhea is defined as cramps without underlying disease.</w:t>
      </w:r>
    </w:p>
    <w:p w:rsidR="005E2A5E" w:rsidRPr="005E2A5E" w:rsidRDefault="005E2A5E" w:rsidP="005E2A5E">
      <w:pPr>
        <w:numPr>
          <w:ilvl w:val="0"/>
          <w:numId w:val="9"/>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Treatment: oral contraceptives (which inhibit ovulation); NSAIDS, regular exercises, rest, applications of heat, and good nutrition.</w:t>
      </w:r>
    </w:p>
    <w:p w:rsidR="005E2A5E" w:rsidRPr="005E2A5E" w:rsidRDefault="005E2A5E" w:rsidP="005E2A5E">
      <w:pPr>
        <w:numPr>
          <w:ilvl w:val="0"/>
          <w:numId w:val="10"/>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Secondary dysmenorrhea is associated with pathology of the reproductive tract and usually appears after menstruation has been established. Conditions that most frequently cause secondary dysmenorrhea include endometriosis, residual pelvic inflammatory disease, cervical stenosis, uterine fibroids, </w:t>
      </w:r>
      <w:proofErr w:type="gramStart"/>
      <w:r w:rsidRPr="005E2A5E">
        <w:rPr>
          <w:rFonts w:ascii="Arial" w:eastAsia="MS Mincho" w:hAnsi="Arial" w:cs="Arial"/>
          <w:sz w:val="26"/>
          <w:szCs w:val="26"/>
        </w:rPr>
        <w:t>ovarian</w:t>
      </w:r>
      <w:proofErr w:type="gramEnd"/>
      <w:r w:rsidRPr="005E2A5E">
        <w:rPr>
          <w:rFonts w:ascii="Arial" w:eastAsia="MS Mincho" w:hAnsi="Arial" w:cs="Arial"/>
          <w:sz w:val="26"/>
          <w:szCs w:val="26"/>
        </w:rPr>
        <w:t xml:space="preserve"> cysts, benign or malignant tumors of the pelvis or abdomen or the presence of IUD.</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Premenstrual syndrome (PMS):</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Refers to a symptom complex characterized by behavioral and physical changes that occur during the luteal phase of menstrual cycle, anywhere from several days to 2 weeks before the onset of menstrual flow.</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Premenstrual </w:t>
      </w:r>
      <w:proofErr w:type="spellStart"/>
      <w:r w:rsidRPr="005E2A5E">
        <w:rPr>
          <w:rFonts w:ascii="Arial" w:eastAsia="MS Mincho" w:hAnsi="Arial" w:cs="Arial"/>
          <w:sz w:val="26"/>
          <w:szCs w:val="26"/>
        </w:rPr>
        <w:t>Dysphoric</w:t>
      </w:r>
      <w:proofErr w:type="spellEnd"/>
      <w:r w:rsidRPr="005E2A5E">
        <w:rPr>
          <w:rFonts w:ascii="Arial" w:eastAsia="MS Mincho" w:hAnsi="Arial" w:cs="Arial"/>
          <w:sz w:val="26"/>
          <w:szCs w:val="26"/>
        </w:rPr>
        <w:t xml:space="preserve"> Disorder:</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More serious form of PMS categorized as a depressive disorder and effects 5 to 8% of women of reproductive age.</w:t>
      </w:r>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Jaundice in newborn (pg. 923, 963, 966)</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Jaundice is a yellowish coloration of the skin and sclera of the eyes that develops from the deposit of yellow pigment bilirubin.</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lastRenderedPageBreak/>
        <w:t xml:space="preserve">The rate and amount of conjugation of bilirubin depend on the rate of hemolysis, bilirubin load, and the maturity of the liver. </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The diagnosis of pathologic jaundice is given to newborns who exhibit jaundice within the first 24 hours of live, have a total serum bilirubin concentration increase of greater than 0.2mg/dl/</w:t>
      </w:r>
      <w:proofErr w:type="spellStart"/>
      <w:r w:rsidRPr="005E2A5E">
        <w:rPr>
          <w:rFonts w:ascii="Arial" w:eastAsia="MS Mincho" w:hAnsi="Arial" w:cs="Arial"/>
          <w:sz w:val="26"/>
          <w:szCs w:val="26"/>
        </w:rPr>
        <w:t>hr</w:t>
      </w:r>
      <w:proofErr w:type="spellEnd"/>
      <w:r w:rsidRPr="005E2A5E">
        <w:rPr>
          <w:rFonts w:ascii="Arial" w:eastAsia="MS Mincho" w:hAnsi="Arial" w:cs="Arial"/>
          <w:sz w:val="26"/>
          <w:szCs w:val="26"/>
        </w:rPr>
        <w:t xml:space="preserve">, </w:t>
      </w:r>
      <w:proofErr w:type="gramStart"/>
      <w:r w:rsidRPr="005E2A5E">
        <w:rPr>
          <w:rFonts w:ascii="Arial" w:eastAsia="MS Mincho" w:hAnsi="Arial" w:cs="Arial"/>
          <w:sz w:val="26"/>
          <w:szCs w:val="26"/>
        </w:rPr>
        <w:t>have</w:t>
      </w:r>
      <w:proofErr w:type="gramEnd"/>
      <w:r w:rsidRPr="005E2A5E">
        <w:rPr>
          <w:rFonts w:ascii="Arial" w:eastAsia="MS Mincho" w:hAnsi="Arial" w:cs="Arial"/>
          <w:sz w:val="26"/>
          <w:szCs w:val="26"/>
        </w:rPr>
        <w:t xml:space="preserve"> persistent visible jaundice after 1 week of age in term infants or after 2 weeks in preterm infants. </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Treatment:</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Phototherapy (exposure of the newborn to high-intensity light).</w:t>
      </w:r>
    </w:p>
    <w:p w:rsidR="005E2A5E" w:rsidRPr="005E2A5E" w:rsidRDefault="005E2A5E" w:rsidP="005E2A5E">
      <w:pPr>
        <w:numPr>
          <w:ilvl w:val="0"/>
          <w:numId w:val="7"/>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Exchange Transfusion (withdrawal and replacement of the newborns blood with donor blood).</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In Drug exposed mom:</w:t>
      </w:r>
    </w:p>
    <w:p w:rsidR="005E2A5E" w:rsidRPr="005E2A5E" w:rsidRDefault="005E2A5E" w:rsidP="005E2A5E">
      <w:pPr>
        <w:spacing w:after="0" w:line="360" w:lineRule="auto"/>
        <w:ind w:left="720"/>
        <w:contextualSpacing/>
        <w:rPr>
          <w:rFonts w:ascii="Arial" w:eastAsia="MS Mincho" w:hAnsi="Arial" w:cs="Arial"/>
          <w:sz w:val="26"/>
          <w:szCs w:val="26"/>
        </w:rPr>
      </w:pPr>
      <w:r w:rsidRPr="005E2A5E">
        <w:rPr>
          <w:rFonts w:ascii="Arial" w:eastAsia="MS Mincho" w:hAnsi="Arial" w:cs="Arial"/>
          <w:sz w:val="26"/>
          <w:szCs w:val="26"/>
        </w:rPr>
        <w:sym w:font="Wingdings" w:char="F0E0"/>
      </w:r>
      <w:r w:rsidRPr="005E2A5E">
        <w:rPr>
          <w:rFonts w:ascii="Arial" w:eastAsia="MS Mincho" w:hAnsi="Arial" w:cs="Arial"/>
          <w:sz w:val="26"/>
          <w:szCs w:val="26"/>
        </w:rPr>
        <w:t xml:space="preserve">Newborns of methadone-addicted women may develop jaundice due to prematurity. Infants of mothers addicted to heroin or cocaine have a lower incidence of </w:t>
      </w:r>
      <w:proofErr w:type="spellStart"/>
      <w:r w:rsidRPr="005E2A5E">
        <w:rPr>
          <w:rFonts w:ascii="Arial" w:eastAsia="MS Mincho" w:hAnsi="Arial" w:cs="Arial"/>
          <w:sz w:val="26"/>
          <w:szCs w:val="26"/>
        </w:rPr>
        <w:t>hyperbilirubiemia</w:t>
      </w:r>
      <w:proofErr w:type="spellEnd"/>
      <w:r w:rsidRPr="005E2A5E">
        <w:rPr>
          <w:rFonts w:ascii="Arial" w:eastAsia="MS Mincho" w:hAnsi="Arial" w:cs="Arial"/>
          <w:sz w:val="26"/>
          <w:szCs w:val="26"/>
        </w:rPr>
        <w:t xml:space="preserve"> because these substances contribute to early maturity of the liver. </w:t>
      </w:r>
    </w:p>
    <w:p w:rsidR="005E2A5E" w:rsidRPr="005E2A5E" w:rsidRDefault="005E2A5E" w:rsidP="005E2A5E">
      <w:pPr>
        <w:spacing w:after="0" w:line="360" w:lineRule="auto"/>
        <w:ind w:left="720"/>
        <w:contextualSpacing/>
        <w:rPr>
          <w:rFonts w:ascii="Arial" w:eastAsia="MS Mincho" w:hAnsi="Arial" w:cs="Arial"/>
          <w:b/>
          <w:sz w:val="26"/>
          <w:szCs w:val="26"/>
        </w:rPr>
      </w:pPr>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Meconium staining (pg. 713, 900, 901)</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Meconium-stained amniotic fluid is one of the most common signs of </w:t>
      </w:r>
      <w:proofErr w:type="spellStart"/>
      <w:r w:rsidRPr="005E2A5E">
        <w:rPr>
          <w:rFonts w:ascii="Arial" w:eastAsia="MS Mincho" w:hAnsi="Arial" w:cs="Arial"/>
          <w:sz w:val="26"/>
          <w:szCs w:val="26"/>
        </w:rPr>
        <w:t>nonreassuring</w:t>
      </w:r>
      <w:proofErr w:type="spellEnd"/>
      <w:r w:rsidRPr="005E2A5E">
        <w:rPr>
          <w:rFonts w:ascii="Arial" w:eastAsia="MS Mincho" w:hAnsi="Arial" w:cs="Arial"/>
          <w:sz w:val="26"/>
          <w:szCs w:val="26"/>
        </w:rPr>
        <w:t xml:space="preserve"> fetal status.</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During labor, the </w:t>
      </w:r>
      <w:proofErr w:type="spellStart"/>
      <w:r w:rsidRPr="005E2A5E">
        <w:rPr>
          <w:rFonts w:ascii="Arial" w:eastAsia="MS Mincho" w:hAnsi="Arial" w:cs="Arial"/>
          <w:sz w:val="26"/>
          <w:szCs w:val="26"/>
        </w:rPr>
        <w:t>postterm</w:t>
      </w:r>
      <w:proofErr w:type="spellEnd"/>
      <w:r w:rsidRPr="005E2A5E">
        <w:rPr>
          <w:rFonts w:ascii="Arial" w:eastAsia="MS Mincho" w:hAnsi="Arial" w:cs="Arial"/>
          <w:sz w:val="26"/>
          <w:szCs w:val="26"/>
        </w:rPr>
        <w:t xml:space="preserve"> fetus may have meconium staining of the amniotic fluid, which can be associated with </w:t>
      </w:r>
      <w:proofErr w:type="spellStart"/>
      <w:r w:rsidRPr="005E2A5E">
        <w:rPr>
          <w:rFonts w:ascii="Arial" w:eastAsia="MS Mincho" w:hAnsi="Arial" w:cs="Arial"/>
          <w:sz w:val="26"/>
          <w:szCs w:val="26"/>
        </w:rPr>
        <w:t>nonreassuring</w:t>
      </w:r>
      <w:proofErr w:type="spellEnd"/>
      <w:r w:rsidRPr="005E2A5E">
        <w:rPr>
          <w:rFonts w:ascii="Arial" w:eastAsia="MS Mincho" w:hAnsi="Arial" w:cs="Arial"/>
          <w:sz w:val="26"/>
          <w:szCs w:val="26"/>
        </w:rPr>
        <w:t xml:space="preserve"> fetal status and meconium aspiration.</w:t>
      </w:r>
    </w:p>
    <w:p w:rsidR="005E2A5E" w:rsidRPr="005E2A5E" w:rsidRDefault="005E2A5E" w:rsidP="005E2A5E">
      <w:pPr>
        <w:numPr>
          <w:ilvl w:val="0"/>
          <w:numId w:val="4"/>
        </w:numPr>
        <w:spacing w:after="0" w:line="360" w:lineRule="auto"/>
        <w:contextualSpacing/>
        <w:rPr>
          <w:rFonts w:ascii="Arial" w:eastAsia="MS Mincho" w:hAnsi="Arial" w:cs="Arial"/>
          <w:b/>
          <w:sz w:val="26"/>
          <w:szCs w:val="26"/>
        </w:rPr>
      </w:pPr>
      <w:proofErr w:type="spellStart"/>
      <w:r w:rsidRPr="005E2A5E">
        <w:rPr>
          <w:rFonts w:ascii="Arial" w:eastAsia="MS Mincho" w:hAnsi="Arial" w:cs="Arial"/>
          <w:sz w:val="26"/>
          <w:szCs w:val="26"/>
        </w:rPr>
        <w:t>Postterm</w:t>
      </w:r>
      <w:proofErr w:type="spellEnd"/>
      <w:r w:rsidRPr="005E2A5E">
        <w:rPr>
          <w:rFonts w:ascii="Arial" w:eastAsia="MS Mincho" w:hAnsi="Arial" w:cs="Arial"/>
          <w:sz w:val="26"/>
          <w:szCs w:val="26"/>
        </w:rPr>
        <w:t xml:space="preserve"> Newborn: &gt;42 weeks</w:t>
      </w:r>
    </w:p>
    <w:p w:rsidR="005E2A5E" w:rsidRPr="005E2A5E" w:rsidRDefault="005E2A5E" w:rsidP="005E2A5E">
      <w:pPr>
        <w:numPr>
          <w:ilvl w:val="0"/>
          <w:numId w:val="11"/>
        </w:numPr>
        <w:spacing w:after="0" w:line="360" w:lineRule="auto"/>
        <w:contextualSpacing/>
        <w:rPr>
          <w:rFonts w:ascii="Arial" w:eastAsia="MS Mincho" w:hAnsi="Arial" w:cs="Arial"/>
          <w:b/>
          <w:sz w:val="26"/>
          <w:szCs w:val="26"/>
        </w:rPr>
      </w:pPr>
      <w:proofErr w:type="spellStart"/>
      <w:r w:rsidRPr="005E2A5E">
        <w:rPr>
          <w:rFonts w:ascii="Arial" w:eastAsia="MS Mincho" w:hAnsi="Arial" w:cs="Arial"/>
          <w:sz w:val="26"/>
          <w:szCs w:val="26"/>
        </w:rPr>
        <w:t>Postmature</w:t>
      </w:r>
      <w:proofErr w:type="spellEnd"/>
      <w:r w:rsidRPr="005E2A5E">
        <w:rPr>
          <w:rFonts w:ascii="Arial" w:eastAsia="MS Mincho" w:hAnsi="Arial" w:cs="Arial"/>
          <w:sz w:val="26"/>
          <w:szCs w:val="26"/>
        </w:rPr>
        <w:t xml:space="preserve"> newborns frequently have meconium staining, (the first stool passed by newborn in uterine), which colors the nails, skin, and umbilical cord.</w:t>
      </w:r>
    </w:p>
    <w:p w:rsidR="005E2A5E" w:rsidRPr="005E2A5E" w:rsidRDefault="005E2A5E" w:rsidP="005E2A5E">
      <w:pPr>
        <w:numPr>
          <w:ilvl w:val="0"/>
          <w:numId w:val="11"/>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lastRenderedPageBreak/>
        <w:t>The varying shades (yellow or green) of meconium staining can give some clue about whether the expulsion of meconium was a recent or a chronic problem; green coloring indicates a more recent event.</w:t>
      </w:r>
    </w:p>
    <w:p w:rsidR="005E2A5E" w:rsidRPr="005E2A5E" w:rsidRDefault="005E2A5E" w:rsidP="005E2A5E">
      <w:pPr>
        <w:numPr>
          <w:ilvl w:val="0"/>
          <w:numId w:val="11"/>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Meconium being released in uterine can cause meconium aspiration. Meconium aspiration is in response to in utero hypoxia. </w:t>
      </w:r>
      <w:proofErr w:type="spellStart"/>
      <w:r w:rsidRPr="005E2A5E">
        <w:rPr>
          <w:rFonts w:ascii="Arial" w:eastAsia="MS Mincho" w:hAnsi="Arial" w:cs="Arial"/>
          <w:sz w:val="26"/>
          <w:szCs w:val="26"/>
        </w:rPr>
        <w:t>Oligohydramnios</w:t>
      </w:r>
      <w:proofErr w:type="spellEnd"/>
      <w:r w:rsidRPr="005E2A5E">
        <w:rPr>
          <w:rFonts w:ascii="Arial" w:eastAsia="MS Mincho" w:hAnsi="Arial" w:cs="Arial"/>
          <w:sz w:val="26"/>
          <w:szCs w:val="26"/>
        </w:rPr>
        <w:t xml:space="preserve"> (low amniotic fluid), increases the danger of aspirating thick meconium. Severe meconium aspiration syndrome increases the baby’s chance of developing persistent pulmonary hypertension, pneumothorax and the pneumonia.</w:t>
      </w:r>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RDS (945-946, 899)</w:t>
      </w:r>
    </w:p>
    <w:p w:rsidR="005E2A5E" w:rsidRPr="005E2A5E" w:rsidRDefault="005E2A5E" w:rsidP="005E2A5E">
      <w:pPr>
        <w:numPr>
          <w:ilvl w:val="0"/>
          <w:numId w:val="12"/>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Respiratory distress syndrome is the result of a primary absence, deficiency, or alteration in the production of pulmonary surfactant, a substance produced in the lungs that keep lungs from collapsing on expiration.</w:t>
      </w:r>
    </w:p>
    <w:p w:rsidR="005E2A5E" w:rsidRPr="005E2A5E" w:rsidRDefault="005E2A5E" w:rsidP="005E2A5E">
      <w:pPr>
        <w:numPr>
          <w:ilvl w:val="0"/>
          <w:numId w:val="12"/>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Occurs more frequently in premature Caucasian infants than in infants of African or Hispanic descent and almost twice as often in males than females.</w:t>
      </w:r>
    </w:p>
    <w:p w:rsidR="005E2A5E" w:rsidRPr="005E2A5E" w:rsidRDefault="005E2A5E" w:rsidP="005E2A5E">
      <w:pPr>
        <w:numPr>
          <w:ilvl w:val="0"/>
          <w:numId w:val="12"/>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Factors associated with RDS: Prematurity &amp; Surfactant deficiency disease</w:t>
      </w:r>
    </w:p>
    <w:p w:rsidR="005E2A5E" w:rsidRPr="005E2A5E" w:rsidRDefault="005E2A5E" w:rsidP="005E2A5E">
      <w:pPr>
        <w:numPr>
          <w:ilvl w:val="0"/>
          <w:numId w:val="12"/>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Development of RDS indicates a failure to synthesize adequate surfactant, which is required to maintain alveolar stability.</w:t>
      </w:r>
    </w:p>
    <w:p w:rsidR="005E2A5E" w:rsidRPr="005E2A5E" w:rsidRDefault="005E2A5E" w:rsidP="005E2A5E">
      <w:pPr>
        <w:numPr>
          <w:ilvl w:val="0"/>
          <w:numId w:val="13"/>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Treatment:</w:t>
      </w:r>
    </w:p>
    <w:p w:rsidR="005E2A5E" w:rsidRPr="005E2A5E" w:rsidRDefault="005E2A5E" w:rsidP="005E2A5E">
      <w:pPr>
        <w:numPr>
          <w:ilvl w:val="0"/>
          <w:numId w:val="10"/>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The primary goal of prenatal management is to prevent preterm birth through aggressive treatment of preterm labor and administration of steroids to enhance fetal lung development if birth is imminent.</w:t>
      </w:r>
    </w:p>
    <w:p w:rsidR="005E2A5E" w:rsidRPr="005E2A5E" w:rsidRDefault="005E2A5E" w:rsidP="005E2A5E">
      <w:pPr>
        <w:numPr>
          <w:ilvl w:val="0"/>
          <w:numId w:val="1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Infants of Diabetic mothers:</w:t>
      </w:r>
    </w:p>
    <w:p w:rsidR="005E2A5E" w:rsidRPr="005E2A5E" w:rsidRDefault="005E2A5E" w:rsidP="005E2A5E">
      <w:pPr>
        <w:numPr>
          <w:ilvl w:val="0"/>
          <w:numId w:val="13"/>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Insulin antagonizes the cortisol-induced stimulation of lecithin synthesis that is necessary for lung maturation. Thus IDM’s may </w:t>
      </w:r>
      <w:r w:rsidRPr="005E2A5E">
        <w:rPr>
          <w:rFonts w:ascii="Arial" w:eastAsia="MS Mincho" w:hAnsi="Arial" w:cs="Arial"/>
          <w:sz w:val="26"/>
          <w:szCs w:val="26"/>
        </w:rPr>
        <w:lastRenderedPageBreak/>
        <w:t>have lungs that are less mature than expected for their gestational age.</w:t>
      </w:r>
    </w:p>
    <w:p w:rsidR="005E2A5E" w:rsidRPr="005E2A5E" w:rsidRDefault="005E2A5E" w:rsidP="005E2A5E">
      <w:pPr>
        <w:numPr>
          <w:ilvl w:val="0"/>
          <w:numId w:val="13"/>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Treatment:</w:t>
      </w:r>
    </w:p>
    <w:p w:rsidR="005E2A5E" w:rsidRPr="005E2A5E" w:rsidRDefault="005E2A5E" w:rsidP="005E2A5E">
      <w:pPr>
        <w:numPr>
          <w:ilvl w:val="0"/>
          <w:numId w:val="10"/>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Prenatal management is directed toward controlling maternal glucose levels, which minimizes the common complications of IDMs.</w:t>
      </w:r>
    </w:p>
    <w:p w:rsidR="005E2A5E" w:rsidRPr="005E2A5E" w:rsidRDefault="005E2A5E" w:rsidP="005E2A5E">
      <w:pPr>
        <w:numPr>
          <w:ilvl w:val="0"/>
          <w:numId w:val="10"/>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IDMs whose serum glucose levels falls below 45 mg/dl should have early feedings with formula or breast milk (colostrum). </w:t>
      </w:r>
    </w:p>
    <w:p w:rsidR="005E2A5E" w:rsidRPr="005E2A5E" w:rsidRDefault="005E2A5E" w:rsidP="005E2A5E">
      <w:pPr>
        <w:spacing w:after="0" w:line="360" w:lineRule="auto"/>
        <w:rPr>
          <w:rFonts w:ascii="Arial" w:eastAsia="MS Mincho" w:hAnsi="Arial" w:cs="Arial"/>
          <w:b/>
          <w:sz w:val="26"/>
          <w:szCs w:val="26"/>
        </w:rPr>
      </w:pPr>
      <w:r w:rsidRPr="005E2A5E">
        <w:rPr>
          <w:rFonts w:ascii="Arial" w:eastAsia="MS Mincho" w:hAnsi="Arial" w:cs="Arial"/>
          <w:b/>
          <w:sz w:val="26"/>
          <w:szCs w:val="26"/>
        </w:rPr>
        <w:t>Premature infants</w:t>
      </w:r>
    </w:p>
    <w:p w:rsidR="005E2A5E" w:rsidRPr="005E2A5E" w:rsidRDefault="005E2A5E" w:rsidP="005E2A5E">
      <w:pPr>
        <w:numPr>
          <w:ilvl w:val="0"/>
          <w:numId w:val="1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Is an infant born through 37 weeks </w:t>
      </w:r>
      <w:proofErr w:type="gramStart"/>
      <w:r w:rsidRPr="005E2A5E">
        <w:rPr>
          <w:rFonts w:ascii="Arial" w:eastAsia="MS Mincho" w:hAnsi="Arial" w:cs="Arial"/>
          <w:sz w:val="26"/>
          <w:szCs w:val="26"/>
        </w:rPr>
        <w:t>gestation.</w:t>
      </w:r>
      <w:proofErr w:type="gramEnd"/>
    </w:p>
    <w:p w:rsidR="005E2A5E" w:rsidRPr="005E2A5E" w:rsidRDefault="005E2A5E" w:rsidP="005E2A5E">
      <w:pPr>
        <w:numPr>
          <w:ilvl w:val="0"/>
          <w:numId w:val="14"/>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Infant has immaturity of all systems:</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Alteration is respiratory and cardiovascular Physiology</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The preterm infant is at risk for respiratory problems because the lungs are not fully mature and not fully ready to take over the process of oxygen and carbon dioxide exchange until 37 to 38 weeks gestation.</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Alteration in Thermoregulation</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Heat loss is a major problem in preterm newborns that the nurse can do much to prevent.</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Alteration in gastrointestinal physiology</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Preterm newborn has indigestion, digestion, and absorption problems.</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Alteration in Renal physiology</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The kidneys of the preterm infant are immature in comparison with those of the full-term infant, which poses clinical problems in the management of fluid and electrolyte balance.</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Alteration in Immunologic Physiology</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lastRenderedPageBreak/>
        <w:t>Prematurity is the single most significant factor association with the incidence of sepsis, thus placing the preterm infant at greater risk for infection and bacteria than the term infant.</w:t>
      </w:r>
    </w:p>
    <w:p w:rsidR="005E2A5E" w:rsidRPr="005E2A5E" w:rsidRDefault="005E2A5E" w:rsidP="005E2A5E">
      <w:pPr>
        <w:numPr>
          <w:ilvl w:val="0"/>
          <w:numId w:val="15"/>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Management of Nutrition and Fluid requirements</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Bottle-feeding: preterm infants who have a coordinated as well as rhythmic suck-swallowing-breathing pattern are usually between 33 and 34 weeks post-conceptual age and may be fed by bottle. Oral readiness is described by remaining engaged in the feeding, able to organize oral-motor functioning, to coordinate the suck-swallow-breath skill, and to maintain physiologic stability.</w:t>
      </w:r>
    </w:p>
    <w:p w:rsidR="005E2A5E" w:rsidRPr="005E2A5E" w:rsidRDefault="005E2A5E" w:rsidP="005E2A5E">
      <w:pPr>
        <w:numPr>
          <w:ilvl w:val="0"/>
          <w:numId w:val="16"/>
        </w:numPr>
        <w:spacing w:after="0" w:line="360" w:lineRule="auto"/>
        <w:contextualSpacing/>
        <w:rPr>
          <w:rFonts w:ascii="Arial" w:eastAsia="MS Mincho" w:hAnsi="Arial" w:cs="Arial"/>
          <w:b/>
          <w:sz w:val="26"/>
          <w:szCs w:val="26"/>
        </w:rPr>
      </w:pPr>
      <w:r w:rsidRPr="005E2A5E">
        <w:rPr>
          <w:rFonts w:ascii="Arial" w:eastAsia="MS Mincho" w:hAnsi="Arial" w:cs="Arial"/>
          <w:sz w:val="26"/>
          <w:szCs w:val="26"/>
        </w:rPr>
        <w:t xml:space="preserve">Breast Feeding: Mothers who wish to breastfeed their preterm infants should be given the opportunity to put the infant to breast as soon as the infant has demonstrated a suck and swallow reflex, is showing consistent weight gain and control body temperature outside of incubator. </w:t>
      </w:r>
    </w:p>
    <w:p w:rsidR="00855A6C" w:rsidRDefault="00855A6C"/>
    <w:sectPr w:rsidR="00855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E52"/>
    <w:multiLevelType w:val="hybridMultilevel"/>
    <w:tmpl w:val="BEBCB0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B37752"/>
    <w:multiLevelType w:val="hybridMultilevel"/>
    <w:tmpl w:val="5372A69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11593634"/>
    <w:multiLevelType w:val="hybridMultilevel"/>
    <w:tmpl w:val="C8D653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11D13D4B"/>
    <w:multiLevelType w:val="hybridMultilevel"/>
    <w:tmpl w:val="4F0845C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EA0618B"/>
    <w:multiLevelType w:val="hybridMultilevel"/>
    <w:tmpl w:val="10945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17166D9"/>
    <w:multiLevelType w:val="hybridMultilevel"/>
    <w:tmpl w:val="53348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69B183E"/>
    <w:multiLevelType w:val="hybridMultilevel"/>
    <w:tmpl w:val="51606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8357C85"/>
    <w:multiLevelType w:val="hybridMultilevel"/>
    <w:tmpl w:val="21AC1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A4474BA"/>
    <w:multiLevelType w:val="hybridMultilevel"/>
    <w:tmpl w:val="D0E8DE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41CD2642"/>
    <w:multiLevelType w:val="hybridMultilevel"/>
    <w:tmpl w:val="B362502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nsid w:val="515270D1"/>
    <w:multiLevelType w:val="hybridMultilevel"/>
    <w:tmpl w:val="1BDE9B4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nsid w:val="5DCA580C"/>
    <w:multiLevelType w:val="hybridMultilevel"/>
    <w:tmpl w:val="BB36A6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17C2E50"/>
    <w:multiLevelType w:val="hybridMultilevel"/>
    <w:tmpl w:val="02D0451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769A4C14"/>
    <w:multiLevelType w:val="hybridMultilevel"/>
    <w:tmpl w:val="98DCA3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772658"/>
    <w:multiLevelType w:val="hybridMultilevel"/>
    <w:tmpl w:val="63CE40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7A530239"/>
    <w:multiLevelType w:val="hybridMultilevel"/>
    <w:tmpl w:val="FB00B324"/>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5"/>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5E"/>
    <w:rsid w:val="005E2A5E"/>
    <w:rsid w:val="0085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3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Cassie</cp:lastModifiedBy>
  <cp:revision>1</cp:revision>
  <dcterms:created xsi:type="dcterms:W3CDTF">2013-04-14T02:22:00Z</dcterms:created>
  <dcterms:modified xsi:type="dcterms:W3CDTF">2013-04-14T02:23:00Z</dcterms:modified>
</cp:coreProperties>
</file>