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CD" w:rsidRDefault="000E70CD" w:rsidP="0004685D">
      <w:pPr>
        <w:jc w:val="center"/>
      </w:pPr>
    </w:p>
    <w:p w:rsidR="0004685D" w:rsidRDefault="0004685D" w:rsidP="0004685D">
      <w:pPr>
        <w:jc w:val="center"/>
      </w:pPr>
    </w:p>
    <w:p w:rsidR="0004685D" w:rsidRDefault="0004685D" w:rsidP="0004685D">
      <w:pPr>
        <w:jc w:val="center"/>
      </w:pPr>
    </w:p>
    <w:p w:rsidR="0004685D" w:rsidRDefault="0004685D" w:rsidP="0004685D">
      <w:pPr>
        <w:jc w:val="center"/>
      </w:pPr>
    </w:p>
    <w:p w:rsidR="0004685D" w:rsidRDefault="0004685D" w:rsidP="0004685D">
      <w:pPr>
        <w:jc w:val="center"/>
      </w:pPr>
    </w:p>
    <w:p w:rsidR="0004685D" w:rsidRDefault="0004685D" w:rsidP="0004685D">
      <w:pPr>
        <w:jc w:val="center"/>
      </w:pPr>
      <w:r>
        <w:t>Case Study 8.2</w:t>
      </w:r>
    </w:p>
    <w:p w:rsidR="0004685D" w:rsidRDefault="0004685D" w:rsidP="0004685D">
      <w:pPr>
        <w:jc w:val="center"/>
      </w:pPr>
      <w:proofErr w:type="spellStart"/>
      <w:r>
        <w:t>Khoa</w:t>
      </w:r>
      <w:proofErr w:type="spellEnd"/>
      <w:r>
        <w:t xml:space="preserve"> Dang Nguyen</w:t>
      </w:r>
    </w:p>
    <w:p w:rsidR="0004685D" w:rsidRDefault="0004685D" w:rsidP="0004685D">
      <w:pPr>
        <w:jc w:val="center"/>
      </w:pPr>
      <w:r>
        <w:t>Lakeview College of Nursing</w:t>
      </w:r>
    </w:p>
    <w:p w:rsidR="0004685D" w:rsidRDefault="0004685D" w:rsidP="0004685D">
      <w:pPr>
        <w:jc w:val="center"/>
      </w:pPr>
      <w:r>
        <w:t>N309 Gerontology</w:t>
      </w:r>
    </w:p>
    <w:p w:rsidR="0004685D" w:rsidRDefault="0004685D" w:rsidP="0004685D">
      <w:pPr>
        <w:jc w:val="center"/>
      </w:pPr>
      <w:r>
        <w:t>April 12, 2012</w:t>
      </w:r>
    </w:p>
    <w:p w:rsidR="0004685D" w:rsidRDefault="0004685D">
      <w:r>
        <w:br w:type="page"/>
      </w:r>
    </w:p>
    <w:p w:rsidR="0004685D" w:rsidRDefault="0004685D" w:rsidP="0004685D">
      <w:pPr>
        <w:jc w:val="center"/>
      </w:pPr>
      <w:r>
        <w:lastRenderedPageBreak/>
        <w:t>Case Study</w:t>
      </w:r>
    </w:p>
    <w:p w:rsidR="0004685D" w:rsidRDefault="006B4194" w:rsidP="0004685D">
      <w:pPr>
        <w:pStyle w:val="ListParagraph"/>
        <w:numPr>
          <w:ilvl w:val="0"/>
          <w:numId w:val="1"/>
        </w:numPr>
      </w:pPr>
      <w:r>
        <w:t xml:space="preserve">According to </w:t>
      </w:r>
      <w:proofErr w:type="spellStart"/>
      <w:r>
        <w:t>Melen</w:t>
      </w:r>
      <w:proofErr w:type="spellEnd"/>
      <w:r>
        <w:t xml:space="preserve"> McBride (2010), </w:t>
      </w:r>
      <w:proofErr w:type="spellStart"/>
      <w:r>
        <w:t>Ethnogeriatric</w:t>
      </w:r>
      <w:proofErr w:type="spellEnd"/>
      <w:r>
        <w:t xml:space="preserve"> may be defined as “health care for older persons from diverse ethnic populations</w:t>
      </w:r>
      <w:r w:rsidR="006720B0">
        <w:t xml:space="preserve"> (McBride, 2010, P 7)”</w:t>
      </w:r>
      <w:r>
        <w:t xml:space="preserve">. In other words, it is a term to describe the type of service that non-American or minorities elders use for health services. </w:t>
      </w:r>
    </w:p>
    <w:p w:rsidR="00C54F8B" w:rsidRDefault="00C54F8B" w:rsidP="00C54F8B">
      <w:pPr>
        <w:pStyle w:val="ListParagraph"/>
        <w:numPr>
          <w:ilvl w:val="0"/>
          <w:numId w:val="1"/>
        </w:numPr>
      </w:pPr>
      <w:r>
        <w:t xml:space="preserve">According to the U.S. Census (2006), people from Mexico, Puerto Rico, Cuba, Dominican, Central America, </w:t>
      </w:r>
      <w:r w:rsidR="006C22EE">
        <w:t>and South</w:t>
      </w:r>
      <w:r>
        <w:t xml:space="preserve"> America</w:t>
      </w:r>
      <w:r w:rsidR="006C22EE">
        <w:t xml:space="preserve"> (U.S. Census, 2006, p27)”</w:t>
      </w:r>
      <w:r>
        <w:t xml:space="preserve"> are considered in the Hispanic ethnicity. </w:t>
      </w:r>
    </w:p>
    <w:p w:rsidR="00C54F8B" w:rsidRDefault="00C54F8B" w:rsidP="00C54F8B">
      <w:pPr>
        <w:pStyle w:val="ListParagraph"/>
        <w:numPr>
          <w:ilvl w:val="0"/>
          <w:numId w:val="1"/>
        </w:numPr>
      </w:pPr>
      <w:r>
        <w:t>According to the Guidelines and Resources for the Oregon Department of Education (2007), “level of acculturation is process of adaptation to a new cultural environment without abandoning native cultural values (</w:t>
      </w:r>
      <w:r w:rsidR="00B802ED">
        <w:t>G</w:t>
      </w:r>
      <w:r w:rsidR="006C22EE">
        <w:t>uidelines and Resources for the Oregon Department of Education</w:t>
      </w:r>
      <w:r w:rsidR="00B802ED">
        <w:t xml:space="preserve">, 2007, p. 1)”. It is important for health care provider to know what the patient’s level of acculturation because it helps the nurse know well the patient understand the nurse and help the nurse have a feel of whether the patient understand the nurse. When a nurse knows the patient’s level of acculturation, the nurse may plan a better treatment plan that will accommodate the patient’s native cultures.  Once the treatment plan is perfectly match with the patient’s culture, there will be a higher chance of the patient adhering to the plan. As a result, we would see good outcomes and good results. </w:t>
      </w:r>
    </w:p>
    <w:p w:rsidR="00B802ED" w:rsidRDefault="006C22EE" w:rsidP="00C54F8B">
      <w:pPr>
        <w:pStyle w:val="ListParagraph"/>
        <w:numPr>
          <w:ilvl w:val="0"/>
          <w:numId w:val="1"/>
        </w:numPr>
      </w:pPr>
      <w:r>
        <w:t xml:space="preserve">According to Stanford School of Medicine (2012), “length of time older patients or their ancestors have been in the U.S., language used at home, fluency in spoken and written English, degree of ethnic affiliation, as reflected in ethnic community participation and </w:t>
      </w:r>
      <w:r>
        <w:lastRenderedPageBreak/>
        <w:t>use of ethnic media (Stanford School of Medicine, 2012, p. 2)” are informal indicators of acculturation used by health care provider for assessment.</w:t>
      </w:r>
    </w:p>
    <w:p w:rsidR="006C22EE" w:rsidRDefault="00653532" w:rsidP="00C54F8B">
      <w:pPr>
        <w:pStyle w:val="ListParagraph"/>
        <w:numPr>
          <w:ilvl w:val="0"/>
          <w:numId w:val="1"/>
        </w:numPr>
      </w:pPr>
      <w:r>
        <w:t xml:space="preserve">Yes, an interpreter or a translator will be contacted to assist with the health intake interview to prevent misinterpretation. Also, an interpretation would make it much easier and comfortable for the patient to express her or her concerns. According to Stanford School of Medicine (2012), “if practitioners do not speak the same language as the patient or the patient has limited English proficiency, then trained interpreters should be used (Stanford School of Medicine, 2012, p. 1)”. </w:t>
      </w:r>
    </w:p>
    <w:p w:rsidR="00653532" w:rsidRDefault="001B59F9" w:rsidP="00C54F8B">
      <w:pPr>
        <w:pStyle w:val="ListParagraph"/>
        <w:numPr>
          <w:ilvl w:val="0"/>
          <w:numId w:val="1"/>
        </w:numPr>
      </w:pPr>
      <w:r>
        <w:t>A. Gesturing with the hands is encouraged.</w:t>
      </w:r>
    </w:p>
    <w:p w:rsidR="001B59F9" w:rsidRDefault="001B59F9" w:rsidP="001B59F9">
      <w:pPr>
        <w:pStyle w:val="ListParagraph"/>
      </w:pPr>
      <w:r>
        <w:t>B. Address the individual by their last name</w:t>
      </w:r>
    </w:p>
    <w:p w:rsidR="001B59F9" w:rsidRDefault="001B59F9" w:rsidP="001B59F9">
      <w:pPr>
        <w:pStyle w:val="ListParagraph"/>
      </w:pPr>
      <w:r>
        <w:t>D. Realizing questioning of authority may be considered unacceptable.</w:t>
      </w:r>
    </w:p>
    <w:p w:rsidR="00DA0227" w:rsidRDefault="00DA0227" w:rsidP="00DA0227">
      <w:pPr>
        <w:ind w:left="360"/>
      </w:pPr>
      <w:r>
        <w:t xml:space="preserve">7. Table 18.2 </w:t>
      </w:r>
      <w:proofErr w:type="gramStart"/>
      <w:r>
        <w:t>Description</w:t>
      </w:r>
      <w:proofErr w:type="gramEnd"/>
      <w:r>
        <w:t xml:space="preserve"> of Hispanic/ Latino Cultural Themes</w:t>
      </w:r>
    </w:p>
    <w:p w:rsidR="006720B0" w:rsidRDefault="006720B0" w:rsidP="00DA0227">
      <w:pPr>
        <w:ind w:left="360"/>
      </w:pPr>
      <w:proofErr w:type="gramStart"/>
      <w:r>
        <w:t>U.S. Census.</w:t>
      </w:r>
      <w:proofErr w:type="gramEnd"/>
      <w:r>
        <w:t xml:space="preserve"> (2006). </w:t>
      </w:r>
      <w:r>
        <w:rPr>
          <w:i/>
        </w:rPr>
        <w:t>Geographic distribution of the Hispanic population</w:t>
      </w:r>
      <w:proofErr w:type="gramStart"/>
      <w:r>
        <w:rPr>
          <w:i/>
        </w:rPr>
        <w:t>:1980</w:t>
      </w:r>
      <w:proofErr w:type="gramEnd"/>
      <w:r>
        <w:rPr>
          <w:i/>
        </w:rPr>
        <w:t xml:space="preserve"> to 2006</w:t>
      </w:r>
    </w:p>
    <w:tbl>
      <w:tblPr>
        <w:tblStyle w:val="TableGrid"/>
        <w:tblW w:w="0" w:type="auto"/>
        <w:tblInd w:w="360" w:type="dxa"/>
        <w:tblLook w:val="04A0" w:firstRow="1" w:lastRow="0" w:firstColumn="1" w:lastColumn="0" w:noHBand="0" w:noVBand="1"/>
      </w:tblPr>
      <w:tblGrid>
        <w:gridCol w:w="4609"/>
        <w:gridCol w:w="4607"/>
      </w:tblGrid>
      <w:tr w:rsidR="00DA0227" w:rsidTr="00DA0227">
        <w:tc>
          <w:tcPr>
            <w:tcW w:w="4788" w:type="dxa"/>
          </w:tcPr>
          <w:p w:rsidR="00DA0227" w:rsidRDefault="00DA0227" w:rsidP="00DA0227">
            <w:pPr>
              <w:jc w:val="center"/>
            </w:pPr>
            <w:r>
              <w:t>Cultural Theme</w:t>
            </w:r>
          </w:p>
        </w:tc>
        <w:tc>
          <w:tcPr>
            <w:tcW w:w="4788" w:type="dxa"/>
          </w:tcPr>
          <w:p w:rsidR="00DA0227" w:rsidRDefault="00DA0227" w:rsidP="00DA0227">
            <w:pPr>
              <w:jc w:val="center"/>
            </w:pPr>
            <w:r>
              <w:t>Description</w:t>
            </w:r>
          </w:p>
        </w:tc>
      </w:tr>
      <w:tr w:rsidR="00DA0227" w:rsidTr="00DA0227">
        <w:tc>
          <w:tcPr>
            <w:tcW w:w="4788" w:type="dxa"/>
          </w:tcPr>
          <w:p w:rsidR="00DA0227" w:rsidRDefault="00DA0227" w:rsidP="00DA0227">
            <w:proofErr w:type="spellStart"/>
            <w:r>
              <w:t>Familismo</w:t>
            </w:r>
            <w:proofErr w:type="spellEnd"/>
          </w:p>
        </w:tc>
        <w:tc>
          <w:tcPr>
            <w:tcW w:w="4788" w:type="dxa"/>
          </w:tcPr>
          <w:p w:rsidR="00DA0227" w:rsidRDefault="00DA0227" w:rsidP="00DA0227">
            <w:r>
              <w:t>Importance of family at all levels: nuclear, extended, fictive kin (</w:t>
            </w:r>
            <w:proofErr w:type="spellStart"/>
            <w:r>
              <w:t>compadres</w:t>
            </w:r>
            <w:proofErr w:type="spellEnd"/>
            <w:r>
              <w:t xml:space="preserve">). Needs of family take precedence over individual </w:t>
            </w:r>
            <w:proofErr w:type="gramStart"/>
            <w:r>
              <w:t>needs.</w:t>
            </w:r>
            <w:proofErr w:type="gramEnd"/>
            <w:r>
              <w:t xml:space="preserve"> Mutual reciprocity. </w:t>
            </w:r>
          </w:p>
        </w:tc>
      </w:tr>
      <w:tr w:rsidR="00DA0227" w:rsidTr="00DA0227">
        <w:tc>
          <w:tcPr>
            <w:tcW w:w="4788" w:type="dxa"/>
          </w:tcPr>
          <w:p w:rsidR="00DA0227" w:rsidRDefault="00DA0227" w:rsidP="00DA0227">
            <w:proofErr w:type="spellStart"/>
            <w:r>
              <w:t>Personalismo</w:t>
            </w:r>
            <w:proofErr w:type="spellEnd"/>
          </w:p>
        </w:tc>
        <w:tc>
          <w:tcPr>
            <w:tcW w:w="4788" w:type="dxa"/>
          </w:tcPr>
          <w:p w:rsidR="00DA0227" w:rsidRDefault="00DA0227" w:rsidP="00DA0227">
            <w:r>
              <w:t>Display of mutual respect, trust building</w:t>
            </w:r>
          </w:p>
        </w:tc>
      </w:tr>
      <w:tr w:rsidR="00DA0227" w:rsidTr="00DA0227">
        <w:tc>
          <w:tcPr>
            <w:tcW w:w="4788" w:type="dxa"/>
          </w:tcPr>
          <w:p w:rsidR="00DA0227" w:rsidRDefault="00DA0227" w:rsidP="00DA0227">
            <w:proofErr w:type="spellStart"/>
            <w:r>
              <w:t>Jerarquismo</w:t>
            </w:r>
            <w:proofErr w:type="spellEnd"/>
          </w:p>
        </w:tc>
        <w:tc>
          <w:tcPr>
            <w:tcW w:w="4788" w:type="dxa"/>
          </w:tcPr>
          <w:p w:rsidR="00DA0227" w:rsidRDefault="00DA0227" w:rsidP="00DA0227">
            <w:r>
              <w:t xml:space="preserve">Respect for </w:t>
            </w:r>
            <w:proofErr w:type="spellStart"/>
            <w:r>
              <w:t>heirarchy</w:t>
            </w:r>
            <w:proofErr w:type="spellEnd"/>
          </w:p>
        </w:tc>
      </w:tr>
      <w:tr w:rsidR="00DA0227" w:rsidTr="00DA0227">
        <w:tc>
          <w:tcPr>
            <w:tcW w:w="4788" w:type="dxa"/>
          </w:tcPr>
          <w:p w:rsidR="00DA0227" w:rsidRDefault="00DA0227" w:rsidP="00DA0227">
            <w:proofErr w:type="spellStart"/>
            <w:r>
              <w:t>Presentismo</w:t>
            </w:r>
            <w:proofErr w:type="spellEnd"/>
          </w:p>
        </w:tc>
        <w:tc>
          <w:tcPr>
            <w:tcW w:w="4788" w:type="dxa"/>
          </w:tcPr>
          <w:p w:rsidR="00DA0227" w:rsidRDefault="00DA0227" w:rsidP="00DA0227">
            <w:r>
              <w:t>Emphasis on present</w:t>
            </w:r>
          </w:p>
        </w:tc>
      </w:tr>
      <w:tr w:rsidR="00DA0227" w:rsidTr="00DA0227">
        <w:tc>
          <w:tcPr>
            <w:tcW w:w="4788" w:type="dxa"/>
          </w:tcPr>
          <w:p w:rsidR="00DA0227" w:rsidRDefault="00DA0227" w:rsidP="00DA0227">
            <w:proofErr w:type="spellStart"/>
            <w:r>
              <w:t>Espiritismo</w:t>
            </w:r>
            <w:proofErr w:type="spellEnd"/>
          </w:p>
        </w:tc>
        <w:tc>
          <w:tcPr>
            <w:tcW w:w="4788" w:type="dxa"/>
          </w:tcPr>
          <w:p w:rsidR="00DA0227" w:rsidRDefault="00DA0227" w:rsidP="00DA0227">
            <w:r>
              <w:t xml:space="preserve">Belief that good/evil spirits can affect </w:t>
            </w:r>
            <w:proofErr w:type="spellStart"/>
            <w:r>
              <w:t>well being</w:t>
            </w:r>
            <w:proofErr w:type="spellEnd"/>
            <w:r>
              <w:t xml:space="preserve"> and spirit of the dead person</w:t>
            </w:r>
          </w:p>
        </w:tc>
      </w:tr>
    </w:tbl>
    <w:p w:rsidR="00DA0227" w:rsidRDefault="00DA0227" w:rsidP="00DA0227"/>
    <w:p w:rsidR="00C54F8B" w:rsidRDefault="00F0732E" w:rsidP="006720B0">
      <w:pPr>
        <w:pStyle w:val="ListParagraph"/>
        <w:numPr>
          <w:ilvl w:val="0"/>
          <w:numId w:val="2"/>
        </w:numPr>
      </w:pPr>
      <w:r>
        <w:t xml:space="preserve">In the Hispanic culture, a </w:t>
      </w:r>
      <w:proofErr w:type="spellStart"/>
      <w:r>
        <w:t>curandero</w:t>
      </w:r>
      <w:proofErr w:type="spellEnd"/>
      <w:r>
        <w:t xml:space="preserve"> is a traditional </w:t>
      </w:r>
      <w:proofErr w:type="gramStart"/>
      <w:r>
        <w:t>healers</w:t>
      </w:r>
      <w:proofErr w:type="gramEnd"/>
      <w:r>
        <w:t xml:space="preserve"> who uses herbs and plants to treat illness that one may have. According to Arizona State University (2001), “studies indicate that a large number of Mexican Americans believe their health problems may be </w:t>
      </w:r>
      <w:r>
        <w:lastRenderedPageBreak/>
        <w:t xml:space="preserve">a result of God’s will, or they may not have resources for conventional care and turn only to traditional healers, such as </w:t>
      </w:r>
      <w:proofErr w:type="spellStart"/>
      <w:r>
        <w:t>curanderos</w:t>
      </w:r>
      <w:proofErr w:type="spellEnd"/>
      <w:r>
        <w:t xml:space="preserve">, or herbal remedies to treat their ailments. </w:t>
      </w:r>
    </w:p>
    <w:p w:rsidR="006720B0" w:rsidRDefault="006720B0">
      <w:r>
        <w:br w:type="page"/>
      </w:r>
    </w:p>
    <w:p w:rsidR="00C54F8B" w:rsidRDefault="00C54F8B" w:rsidP="006720B0">
      <w:pPr>
        <w:jc w:val="center"/>
      </w:pPr>
      <w:bookmarkStart w:id="0" w:name="_GoBack"/>
      <w:bookmarkEnd w:id="0"/>
      <w:r>
        <w:lastRenderedPageBreak/>
        <w:t>Reference</w:t>
      </w:r>
    </w:p>
    <w:p w:rsidR="00C54F8B" w:rsidRDefault="00F0732E" w:rsidP="00F0732E">
      <w:pPr>
        <w:ind w:left="720" w:hanging="720"/>
      </w:pPr>
      <w:proofErr w:type="gramStart"/>
      <w:r>
        <w:t>Arizona State University.</w:t>
      </w:r>
      <w:proofErr w:type="gramEnd"/>
      <w:r>
        <w:t xml:space="preserve"> </w:t>
      </w:r>
      <w:proofErr w:type="gramStart"/>
      <w:r>
        <w:t xml:space="preserve">(2001). </w:t>
      </w:r>
      <w:r w:rsidRPr="006720B0">
        <w:rPr>
          <w:i/>
        </w:rPr>
        <w:t>Latino culture &amp; health</w:t>
      </w:r>
      <w:r>
        <w:t>.</w:t>
      </w:r>
      <w:proofErr w:type="gramEnd"/>
      <w:r>
        <w:t xml:space="preserve"> Retrieved from </w:t>
      </w:r>
      <w:hyperlink r:id="rId8" w:history="1">
        <w:r w:rsidRPr="00086AAC">
          <w:rPr>
            <w:rStyle w:val="Hyperlink"/>
          </w:rPr>
          <w:t>http://www.public.asu.edu/~cbaldwi1/swborderlands/lch.htm</w:t>
        </w:r>
      </w:hyperlink>
    </w:p>
    <w:p w:rsidR="00F0732E" w:rsidRDefault="00F0732E" w:rsidP="00F0732E">
      <w:pPr>
        <w:ind w:left="720" w:hanging="720"/>
      </w:pPr>
      <w:proofErr w:type="spellStart"/>
      <w:proofErr w:type="gramStart"/>
      <w:r>
        <w:t>Talmantes</w:t>
      </w:r>
      <w:proofErr w:type="spellEnd"/>
      <w:r>
        <w:t>, M., Lindeman, R., &amp; Mouton, C. (2001).</w:t>
      </w:r>
      <w:proofErr w:type="gramEnd"/>
      <w:r>
        <w:t xml:space="preserve"> </w:t>
      </w:r>
      <w:r>
        <w:rPr>
          <w:i/>
        </w:rPr>
        <w:t>Health and health care of Hispanic/Latino American elders</w:t>
      </w:r>
      <w:r>
        <w:t xml:space="preserve"> (2</w:t>
      </w:r>
      <w:r w:rsidRPr="00F0732E">
        <w:rPr>
          <w:vertAlign w:val="superscript"/>
        </w:rPr>
        <w:t>nd</w:t>
      </w:r>
      <w:r>
        <w:t xml:space="preserve"> </w:t>
      </w:r>
      <w:proofErr w:type="gramStart"/>
      <w:r>
        <w:t>ed</w:t>
      </w:r>
      <w:proofErr w:type="gramEnd"/>
      <w:r>
        <w:t xml:space="preserve">.). </w:t>
      </w:r>
      <w:proofErr w:type="gramStart"/>
      <w:r>
        <w:t>Stanford Geriatric Center.</w:t>
      </w:r>
      <w:proofErr w:type="gramEnd"/>
      <w:r>
        <w:t xml:space="preserve"> </w:t>
      </w:r>
      <w:proofErr w:type="gramStart"/>
      <w:r>
        <w:t xml:space="preserve">Supported by the Bureau of Health Professions Health Resources and Services </w:t>
      </w:r>
      <w:proofErr w:type="spellStart"/>
      <w:r>
        <w:t>Admistration</w:t>
      </w:r>
      <w:proofErr w:type="spellEnd"/>
      <w:r>
        <w:t xml:space="preserve"> U.S. Department of health and Human Services.</w:t>
      </w:r>
      <w:proofErr w:type="gramEnd"/>
      <w:r>
        <w:t xml:space="preserve"> Retrieved from </w:t>
      </w:r>
      <w:r w:rsidR="00A9577F" w:rsidRPr="00A9577F">
        <w:t>http://ww.stanford.edu/group/ethnoger/index.html</w:t>
      </w:r>
    </w:p>
    <w:p w:rsidR="00A9577F" w:rsidRDefault="00A9577F" w:rsidP="00F0732E">
      <w:pPr>
        <w:ind w:left="720" w:hanging="720"/>
      </w:pPr>
      <w:proofErr w:type="gramStart"/>
      <w:r>
        <w:t xml:space="preserve">McBride, M. </w:t>
      </w:r>
      <w:proofErr w:type="spellStart"/>
      <w:r>
        <w:rPr>
          <w:i/>
        </w:rPr>
        <w:t>Ethnogeriatrics</w:t>
      </w:r>
      <w:proofErr w:type="spellEnd"/>
      <w:r>
        <w:rPr>
          <w:i/>
        </w:rPr>
        <w:t xml:space="preserve"> and cultural competence for nursing practice.</w:t>
      </w:r>
      <w:proofErr w:type="gramEnd"/>
      <w:r>
        <w:rPr>
          <w:i/>
        </w:rPr>
        <w:t xml:space="preserve"> </w:t>
      </w:r>
      <w:proofErr w:type="gramStart"/>
      <w:r>
        <w:t>Harford Institute for Geriatric Nursing.</w:t>
      </w:r>
      <w:proofErr w:type="gramEnd"/>
      <w:r>
        <w:t xml:space="preserve"> Retrieved from: </w:t>
      </w:r>
      <w:hyperlink r:id="rId9" w:history="1">
        <w:r w:rsidRPr="00086AAC">
          <w:rPr>
            <w:rStyle w:val="Hyperlink"/>
          </w:rPr>
          <w:t>http://consultgerirn.org/topics/ethnogeriatrics_and_cultural_competence_for_nursing_practice/want_to_know_more</w:t>
        </w:r>
      </w:hyperlink>
    </w:p>
    <w:p w:rsidR="00A9577F" w:rsidRDefault="00A9577F" w:rsidP="00F0732E">
      <w:pPr>
        <w:ind w:left="720" w:hanging="720"/>
      </w:pPr>
      <w:proofErr w:type="gramStart"/>
      <w:r>
        <w:t>Stanford School of Medicine.</w:t>
      </w:r>
      <w:proofErr w:type="gramEnd"/>
      <w:r>
        <w:t xml:space="preserve"> (2012). </w:t>
      </w:r>
      <w:r w:rsidRPr="006720B0">
        <w:rPr>
          <w:i/>
        </w:rPr>
        <w:t>Interpreter guidelines: guidelines for selecting interpreters.</w:t>
      </w:r>
      <w:r w:rsidRPr="006720B0">
        <w:t xml:space="preserve"> </w:t>
      </w:r>
      <w:r>
        <w:t xml:space="preserve">Retrieved from: </w:t>
      </w:r>
      <w:hyperlink r:id="rId10" w:history="1">
        <w:r w:rsidRPr="00086AAC">
          <w:rPr>
            <w:rStyle w:val="Hyperlink"/>
          </w:rPr>
          <w:t>http://geriatrics.stanford.edu/culturemed/overview/assessment/interpreters.html</w:t>
        </w:r>
      </w:hyperlink>
    </w:p>
    <w:p w:rsidR="00A9577F" w:rsidRDefault="00A9577F" w:rsidP="00F0732E">
      <w:pPr>
        <w:ind w:left="720" w:hanging="720"/>
      </w:pPr>
      <w:proofErr w:type="gramStart"/>
      <w:r>
        <w:t>Stanford School of Medicine.</w:t>
      </w:r>
      <w:proofErr w:type="gramEnd"/>
      <w:r>
        <w:t xml:space="preserve"> </w:t>
      </w:r>
      <w:proofErr w:type="gramStart"/>
      <w:r>
        <w:t xml:space="preserve">(2012). </w:t>
      </w:r>
      <w:proofErr w:type="spellStart"/>
      <w:r w:rsidRPr="006720B0">
        <w:rPr>
          <w:i/>
        </w:rPr>
        <w:t>Ethnogeriatric</w:t>
      </w:r>
      <w:proofErr w:type="spellEnd"/>
      <w:r w:rsidRPr="006720B0">
        <w:rPr>
          <w:i/>
        </w:rPr>
        <w:t xml:space="preserve"> assessment</w:t>
      </w:r>
      <w:r>
        <w:t>.</w:t>
      </w:r>
      <w:proofErr w:type="gramEnd"/>
      <w:r>
        <w:t xml:space="preserve"> Retrieved from: </w:t>
      </w:r>
      <w:hyperlink r:id="rId11" w:history="1">
        <w:r w:rsidRPr="00086AAC">
          <w:rPr>
            <w:rStyle w:val="Hyperlink"/>
          </w:rPr>
          <w:t>http://geriatrics.stanford.edu/culturemed/overview/assessment/ethnogeriatric_assessment.html</w:t>
        </w:r>
      </w:hyperlink>
    </w:p>
    <w:p w:rsidR="00A9577F" w:rsidRDefault="00A9577F" w:rsidP="00F0732E">
      <w:pPr>
        <w:ind w:left="720" w:hanging="720"/>
      </w:pPr>
      <w:r>
        <w:t xml:space="preserve">Guideline and Resources for the Oregon </w:t>
      </w:r>
      <w:proofErr w:type="spellStart"/>
      <w:r>
        <w:t>Deapartment</w:t>
      </w:r>
      <w:proofErr w:type="spellEnd"/>
      <w:r>
        <w:t xml:space="preserve"> of Education. (2007). </w:t>
      </w:r>
      <w:r>
        <w:rPr>
          <w:i/>
        </w:rPr>
        <w:t>Appendix C</w:t>
      </w:r>
      <w:r>
        <w:t xml:space="preserve">. Retrieved from: </w:t>
      </w:r>
      <w:hyperlink r:id="rId12" w:history="1">
        <w:r w:rsidRPr="00086AAC">
          <w:rPr>
            <w:rStyle w:val="Hyperlink"/>
          </w:rPr>
          <w:t>http://tr.wou.edu/eec/documents/Appendix%20C-%20Acculturation.pdf</w:t>
        </w:r>
      </w:hyperlink>
    </w:p>
    <w:p w:rsidR="00144CA6" w:rsidRPr="00A9577F" w:rsidRDefault="00A9577F" w:rsidP="00144CA6">
      <w:pPr>
        <w:ind w:left="720" w:hanging="720"/>
      </w:pPr>
      <w:proofErr w:type="gramStart"/>
      <w:r>
        <w:t>U.S. Census.</w:t>
      </w:r>
      <w:proofErr w:type="gramEnd"/>
      <w:r>
        <w:t xml:space="preserve"> (2006). </w:t>
      </w:r>
      <w:r>
        <w:rPr>
          <w:i/>
        </w:rPr>
        <w:t>Geographic distribution of the Hispanic population</w:t>
      </w:r>
      <w:proofErr w:type="gramStart"/>
      <w:r>
        <w:rPr>
          <w:i/>
        </w:rPr>
        <w:t>:1980</w:t>
      </w:r>
      <w:proofErr w:type="gramEnd"/>
      <w:r>
        <w:rPr>
          <w:i/>
        </w:rPr>
        <w:t xml:space="preserve"> to 2006. </w:t>
      </w:r>
      <w:r>
        <w:t xml:space="preserve">Retrieved from: </w:t>
      </w:r>
      <w:hyperlink r:id="rId13" w:history="1">
        <w:r w:rsidR="00144CA6" w:rsidRPr="00086AAC">
          <w:rPr>
            <w:rStyle w:val="Hyperlink"/>
          </w:rPr>
          <w:t>http://www.census.gov/population/www/socdemo/hispanic/files/Internet_Hispanic_in_US_2006.pdf</w:t>
        </w:r>
      </w:hyperlink>
    </w:p>
    <w:sectPr w:rsidR="00144CA6" w:rsidRPr="00A9577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C5B" w:rsidRDefault="00683C5B" w:rsidP="0004685D">
      <w:pPr>
        <w:spacing w:line="240" w:lineRule="auto"/>
      </w:pPr>
      <w:r>
        <w:separator/>
      </w:r>
    </w:p>
  </w:endnote>
  <w:endnote w:type="continuationSeparator" w:id="0">
    <w:p w:rsidR="00683C5B" w:rsidRDefault="00683C5B" w:rsidP="00046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C5B" w:rsidRDefault="00683C5B" w:rsidP="0004685D">
      <w:pPr>
        <w:spacing w:line="240" w:lineRule="auto"/>
      </w:pPr>
      <w:r>
        <w:separator/>
      </w:r>
    </w:p>
  </w:footnote>
  <w:footnote w:type="continuationSeparator" w:id="0">
    <w:p w:rsidR="00683C5B" w:rsidRDefault="00683C5B" w:rsidP="000468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85D" w:rsidRDefault="0004685D">
    <w:pPr>
      <w:pStyle w:val="Header"/>
    </w:pPr>
    <w:r>
      <w:t>Running head: CASE STUDY 8.2</w:t>
    </w:r>
    <w:r>
      <w:tab/>
    </w:r>
    <w:r>
      <w:tab/>
    </w:r>
    <w:r>
      <w:fldChar w:fldCharType="begin"/>
    </w:r>
    <w:r>
      <w:instrText xml:space="preserve"> PAGE   \* MERGEFORMAT </w:instrText>
    </w:r>
    <w:r>
      <w:fldChar w:fldCharType="separate"/>
    </w:r>
    <w:r w:rsidR="006720B0">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F7DE5"/>
    <w:multiLevelType w:val="hybridMultilevel"/>
    <w:tmpl w:val="572A3FB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D20FF"/>
    <w:multiLevelType w:val="hybridMultilevel"/>
    <w:tmpl w:val="ABFC4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85D"/>
    <w:rsid w:val="0004685D"/>
    <w:rsid w:val="000E70CD"/>
    <w:rsid w:val="00144CA6"/>
    <w:rsid w:val="001B59F9"/>
    <w:rsid w:val="00653532"/>
    <w:rsid w:val="006720B0"/>
    <w:rsid w:val="00683C5B"/>
    <w:rsid w:val="006B4194"/>
    <w:rsid w:val="006C22EE"/>
    <w:rsid w:val="007B1F5A"/>
    <w:rsid w:val="00A9577F"/>
    <w:rsid w:val="00B802ED"/>
    <w:rsid w:val="00C54F8B"/>
    <w:rsid w:val="00DA0227"/>
    <w:rsid w:val="00F0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85D"/>
    <w:pPr>
      <w:tabs>
        <w:tab w:val="center" w:pos="4680"/>
        <w:tab w:val="right" w:pos="9360"/>
      </w:tabs>
      <w:spacing w:line="240" w:lineRule="auto"/>
    </w:pPr>
  </w:style>
  <w:style w:type="character" w:customStyle="1" w:styleId="HeaderChar">
    <w:name w:val="Header Char"/>
    <w:basedOn w:val="DefaultParagraphFont"/>
    <w:link w:val="Header"/>
    <w:uiPriority w:val="99"/>
    <w:rsid w:val="0004685D"/>
  </w:style>
  <w:style w:type="paragraph" w:styleId="Footer">
    <w:name w:val="footer"/>
    <w:basedOn w:val="Normal"/>
    <w:link w:val="FooterChar"/>
    <w:uiPriority w:val="99"/>
    <w:unhideWhenUsed/>
    <w:rsid w:val="0004685D"/>
    <w:pPr>
      <w:tabs>
        <w:tab w:val="center" w:pos="4680"/>
        <w:tab w:val="right" w:pos="9360"/>
      </w:tabs>
      <w:spacing w:line="240" w:lineRule="auto"/>
    </w:pPr>
  </w:style>
  <w:style w:type="character" w:customStyle="1" w:styleId="FooterChar">
    <w:name w:val="Footer Char"/>
    <w:basedOn w:val="DefaultParagraphFont"/>
    <w:link w:val="Footer"/>
    <w:uiPriority w:val="99"/>
    <w:rsid w:val="0004685D"/>
  </w:style>
  <w:style w:type="paragraph" w:styleId="ListParagraph">
    <w:name w:val="List Paragraph"/>
    <w:basedOn w:val="Normal"/>
    <w:uiPriority w:val="34"/>
    <w:qFormat/>
    <w:rsid w:val="0004685D"/>
    <w:pPr>
      <w:ind w:left="720"/>
      <w:contextualSpacing/>
    </w:pPr>
  </w:style>
  <w:style w:type="table" w:styleId="TableGrid">
    <w:name w:val="Table Grid"/>
    <w:basedOn w:val="TableNormal"/>
    <w:uiPriority w:val="59"/>
    <w:rsid w:val="00DA02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73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85D"/>
    <w:pPr>
      <w:tabs>
        <w:tab w:val="center" w:pos="4680"/>
        <w:tab w:val="right" w:pos="9360"/>
      </w:tabs>
      <w:spacing w:line="240" w:lineRule="auto"/>
    </w:pPr>
  </w:style>
  <w:style w:type="character" w:customStyle="1" w:styleId="HeaderChar">
    <w:name w:val="Header Char"/>
    <w:basedOn w:val="DefaultParagraphFont"/>
    <w:link w:val="Header"/>
    <w:uiPriority w:val="99"/>
    <w:rsid w:val="0004685D"/>
  </w:style>
  <w:style w:type="paragraph" w:styleId="Footer">
    <w:name w:val="footer"/>
    <w:basedOn w:val="Normal"/>
    <w:link w:val="FooterChar"/>
    <w:uiPriority w:val="99"/>
    <w:unhideWhenUsed/>
    <w:rsid w:val="0004685D"/>
    <w:pPr>
      <w:tabs>
        <w:tab w:val="center" w:pos="4680"/>
        <w:tab w:val="right" w:pos="9360"/>
      </w:tabs>
      <w:spacing w:line="240" w:lineRule="auto"/>
    </w:pPr>
  </w:style>
  <w:style w:type="character" w:customStyle="1" w:styleId="FooterChar">
    <w:name w:val="Footer Char"/>
    <w:basedOn w:val="DefaultParagraphFont"/>
    <w:link w:val="Footer"/>
    <w:uiPriority w:val="99"/>
    <w:rsid w:val="0004685D"/>
  </w:style>
  <w:style w:type="paragraph" w:styleId="ListParagraph">
    <w:name w:val="List Paragraph"/>
    <w:basedOn w:val="Normal"/>
    <w:uiPriority w:val="34"/>
    <w:qFormat/>
    <w:rsid w:val="0004685D"/>
    <w:pPr>
      <w:ind w:left="720"/>
      <w:contextualSpacing/>
    </w:pPr>
  </w:style>
  <w:style w:type="table" w:styleId="TableGrid">
    <w:name w:val="Table Grid"/>
    <w:basedOn w:val="TableNormal"/>
    <w:uiPriority w:val="59"/>
    <w:rsid w:val="00DA02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73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asu.edu/~cbaldwi1/swborderlands/lch.htm" TargetMode="External"/><Relationship Id="rId13" Type="http://schemas.openxmlformats.org/officeDocument/2006/relationships/hyperlink" Target="http://www.census.gov/population/www/socdemo/hispanic/files/Internet_Hispanic_in_US_2006.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r.wou.edu/eec/documents/Appendix%20C-%20Acculturatio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riatrics.stanford.edu/culturemed/overview/assessment/ethnogeriatric_assessmen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eriatrics.stanford.edu/culturemed/overview/assessment/interpreters.html" TargetMode="External"/><Relationship Id="rId4" Type="http://schemas.openxmlformats.org/officeDocument/2006/relationships/settings" Target="settings.xml"/><Relationship Id="rId9" Type="http://schemas.openxmlformats.org/officeDocument/2006/relationships/hyperlink" Target="http://consultgerirn.org/topics/ethnogeriatrics_and_cultural_competence_for_nursing_practice/want_to_know_mor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jimmy nguyen</cp:lastModifiedBy>
  <cp:revision>2</cp:revision>
  <dcterms:created xsi:type="dcterms:W3CDTF">2012-04-15T04:13:00Z</dcterms:created>
  <dcterms:modified xsi:type="dcterms:W3CDTF">2012-04-16T01:33:00Z</dcterms:modified>
</cp:coreProperties>
</file>