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E3C" w:rsidRDefault="00B04E3C" w:rsidP="00636496">
      <w:pPr>
        <w:jc w:val="center"/>
      </w:pPr>
    </w:p>
    <w:p w:rsidR="00B04E3C" w:rsidRDefault="00B04E3C" w:rsidP="00636496">
      <w:pPr>
        <w:jc w:val="center"/>
      </w:pPr>
    </w:p>
    <w:p w:rsidR="00B04E3C" w:rsidRDefault="00B04E3C" w:rsidP="00636496">
      <w:pPr>
        <w:jc w:val="center"/>
      </w:pPr>
    </w:p>
    <w:p w:rsidR="00B04E3C" w:rsidRDefault="00B04E3C" w:rsidP="00636496">
      <w:pPr>
        <w:jc w:val="center"/>
      </w:pPr>
    </w:p>
    <w:p w:rsidR="00B04E3C" w:rsidRDefault="00B04E3C" w:rsidP="00636496">
      <w:pPr>
        <w:jc w:val="center"/>
      </w:pPr>
    </w:p>
    <w:p w:rsidR="00B04E3C" w:rsidRDefault="00B04E3C" w:rsidP="00636496">
      <w:pPr>
        <w:jc w:val="center"/>
      </w:pPr>
      <w:r>
        <w:t xml:space="preserve">Case Study 18.1: Culturally Specific Care – Part I </w:t>
      </w:r>
    </w:p>
    <w:p w:rsidR="00B04E3C" w:rsidRDefault="00B04E3C" w:rsidP="00636496">
      <w:pPr>
        <w:jc w:val="center"/>
      </w:pPr>
      <w:r>
        <w:t>Pascha Buie</w:t>
      </w:r>
    </w:p>
    <w:p w:rsidR="00B04E3C" w:rsidRDefault="00B04E3C" w:rsidP="00636496">
      <w:pPr>
        <w:jc w:val="center"/>
      </w:pPr>
      <w:r>
        <w:t xml:space="preserve">Lakeview </w:t>
      </w:r>
      <w:smartTag w:uri="urn:schemas-microsoft-com:office:smarttags" w:element="place">
        <w:smartTag w:uri="urn:schemas-microsoft-com:office:smarttags" w:element="PlaceType">
          <w:r>
            <w:t>College</w:t>
          </w:r>
        </w:smartTag>
        <w:r>
          <w:t xml:space="preserve"> of </w:t>
        </w:r>
        <w:smartTag w:uri="urn:schemas-microsoft-com:office:smarttags" w:element="PlaceName">
          <w:r>
            <w:t>Nursing</w:t>
          </w:r>
        </w:smartTag>
      </w:smartTag>
    </w:p>
    <w:p w:rsidR="00B04E3C" w:rsidRDefault="00B04E3C" w:rsidP="00636496">
      <w:pPr>
        <w:jc w:val="center"/>
      </w:pPr>
      <w:r>
        <w:t>Professor Keith</w:t>
      </w:r>
    </w:p>
    <w:p w:rsidR="00B04E3C" w:rsidRDefault="00B04E3C" w:rsidP="00636496">
      <w:pPr>
        <w:jc w:val="center"/>
      </w:pPr>
      <w:r>
        <w:t>March 31, 2013</w:t>
      </w:r>
    </w:p>
    <w:p w:rsidR="00B04E3C" w:rsidRDefault="00B04E3C">
      <w:r>
        <w:br w:type="page"/>
      </w:r>
    </w:p>
    <w:p w:rsidR="00B04E3C" w:rsidRDefault="00B04E3C" w:rsidP="00D253A4">
      <w:pPr>
        <w:jc w:val="center"/>
      </w:pPr>
      <w:r>
        <w:t xml:space="preserve">Case Study 18.1: Culturally Specific Care – Part I </w:t>
      </w:r>
    </w:p>
    <w:p w:rsidR="00B04E3C" w:rsidRDefault="00B04E3C" w:rsidP="00636496">
      <w:pPr>
        <w:ind w:firstLine="720"/>
      </w:pPr>
      <w:r>
        <w:t>Five components according to the author based on an Essay by Collierha, InWriteWork (2006) in which are generally included in the definition of culture:</w:t>
      </w:r>
    </w:p>
    <w:p w:rsidR="00B04E3C" w:rsidRDefault="00B04E3C" w:rsidP="00701BA5">
      <w:pPr>
        <w:pStyle w:val="ListParagraph"/>
        <w:numPr>
          <w:ilvl w:val="0"/>
          <w:numId w:val="1"/>
        </w:numPr>
        <w:spacing w:line="240" w:lineRule="auto"/>
        <w:ind w:left="1498"/>
      </w:pPr>
      <w:r>
        <w:t>Symbols. Are anything that carriers a particular meaning recognized by people who share a culture (InWriteWork, 2006).</w:t>
      </w:r>
    </w:p>
    <w:p w:rsidR="00B04E3C" w:rsidRDefault="00B04E3C" w:rsidP="00701BA5">
      <w:pPr>
        <w:pStyle w:val="ListParagraph"/>
        <w:numPr>
          <w:ilvl w:val="0"/>
          <w:numId w:val="1"/>
        </w:numPr>
        <w:spacing w:line="240" w:lineRule="auto"/>
        <w:ind w:left="1498"/>
      </w:pPr>
      <w:r>
        <w:t>Language.  Is a system of symbols that allows people to communicate with each other (InWriteWork, 2006).</w:t>
      </w:r>
    </w:p>
    <w:p w:rsidR="00B04E3C" w:rsidRDefault="00B04E3C" w:rsidP="00701BA5">
      <w:pPr>
        <w:pStyle w:val="ListParagraph"/>
        <w:numPr>
          <w:ilvl w:val="0"/>
          <w:numId w:val="1"/>
        </w:numPr>
        <w:spacing w:line="240" w:lineRule="auto"/>
        <w:ind w:left="1498"/>
      </w:pPr>
      <w:r>
        <w:t>Values and beliefs.  Values are culturally defines standards by which people assess desirability, goodness, and beauty, and that serve as broad guidelines for social living (InWriteWork, 2006).</w:t>
      </w:r>
    </w:p>
    <w:p w:rsidR="00B04E3C" w:rsidRDefault="00B04E3C" w:rsidP="00701BA5">
      <w:pPr>
        <w:pStyle w:val="ListParagraph"/>
        <w:numPr>
          <w:ilvl w:val="0"/>
          <w:numId w:val="1"/>
        </w:numPr>
        <w:spacing w:line="240" w:lineRule="auto"/>
        <w:ind w:left="1498"/>
      </w:pPr>
      <w:r>
        <w:t>Norms.  Are rules and expectations by which a society guides the behavior of its members (InWriteWork, 2006).</w:t>
      </w:r>
    </w:p>
    <w:p w:rsidR="00B04E3C" w:rsidRDefault="00B04E3C" w:rsidP="009620A2">
      <w:pPr>
        <w:pStyle w:val="ListParagraph"/>
        <w:numPr>
          <w:ilvl w:val="0"/>
          <w:numId w:val="1"/>
        </w:numPr>
        <w:spacing w:line="240" w:lineRule="auto"/>
        <w:ind w:left="1498"/>
      </w:pPr>
      <w:r>
        <w:t>Material culture and technology.  Is knowledge that people use to make a way of life in their surroundings, which is reflected by material culture (InWriteWork, 2006).</w:t>
      </w:r>
    </w:p>
    <w:p w:rsidR="00B04E3C" w:rsidRDefault="00B04E3C" w:rsidP="009620A2">
      <w:pPr>
        <w:pStyle w:val="ListParagraph"/>
        <w:spacing w:line="240" w:lineRule="auto"/>
        <w:ind w:left="1498"/>
      </w:pPr>
    </w:p>
    <w:p w:rsidR="00B04E3C" w:rsidRDefault="00B04E3C" w:rsidP="004B6A79">
      <w:pPr>
        <w:ind w:firstLine="720"/>
      </w:pPr>
      <w:r>
        <w:t xml:space="preserve">According to Wikipedia (2013), it defines ethnocentrism as a “judging of another culture by the values and standards of one’s own culture”(Wikipedia, 2013).  So after viewing the definition, the author will share this story:  working in today’s society there is still a lot of racism around.  One day while at work, the author’s co-worker was talking with other co-workers on the subject of dating.  There were 5 white (Caucasian) co-workers and one black co-worker (the author) in the room.  One white (Caucasian) co-worker stated that she was recently dating someone.  So as expected, all kinds of questions were asked about the guy she was dating.  Well, she stated that he is a black guy and why did she say that because that opened up a lot of ethnocentric thoughts / opinions.  Another white female co-worker had asked her what her family thought about that, in which the girl’s response was that they would be okay with it.  Out of nowhere the following remark was made that ‘all races should only date their race, not outside it’.  So of course that did not sit well with the author because the author feels that it really shouldn’t matter what color a person is, if he or she makes you happy and treats you right, then date / marry whomever you want. Because at the end of the day if the good Lord shut the lights out and we were all blind then it really wouldn’t matter what a person looked like. </w:t>
      </w:r>
    </w:p>
    <w:p w:rsidR="00B04E3C" w:rsidRDefault="00B04E3C" w:rsidP="004B6A79">
      <w:pPr>
        <w:ind w:firstLine="720"/>
      </w:pPr>
      <w:r>
        <w:t xml:space="preserve">Upon using the Kaiser Family (2011) website, the author transferred the distribution of </w:t>
      </w:r>
      <w:smartTag w:uri="urn:schemas-microsoft-com:office:smarttags" w:element="place">
        <w:smartTag w:uri="urn:schemas-microsoft-com:office:smarttags" w:element="country-region">
          <w:r>
            <w:t>U.S.</w:t>
          </w:r>
        </w:smartTag>
      </w:smartTag>
      <w:r>
        <w:t xml:space="preserve"> population by race / ethnicity, 2010 and 2050 (2010) statistics to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68"/>
        <w:gridCol w:w="1710"/>
        <w:gridCol w:w="1306"/>
      </w:tblGrid>
      <w:tr w:rsidR="00B04E3C" w:rsidRPr="00356999" w:rsidTr="00356999">
        <w:trPr>
          <w:trHeight w:val="277"/>
        </w:trPr>
        <w:tc>
          <w:tcPr>
            <w:tcW w:w="5868" w:type="dxa"/>
          </w:tcPr>
          <w:p w:rsidR="00B04E3C" w:rsidRPr="00356999" w:rsidRDefault="00B04E3C" w:rsidP="00356999">
            <w:pPr>
              <w:spacing w:line="240" w:lineRule="auto"/>
            </w:pPr>
          </w:p>
        </w:tc>
        <w:tc>
          <w:tcPr>
            <w:tcW w:w="1710" w:type="dxa"/>
          </w:tcPr>
          <w:p w:rsidR="00B04E3C" w:rsidRPr="00356999" w:rsidRDefault="00B04E3C" w:rsidP="00356999">
            <w:pPr>
              <w:spacing w:line="240" w:lineRule="auto"/>
              <w:jc w:val="center"/>
              <w:rPr>
                <w:b/>
              </w:rPr>
            </w:pPr>
            <w:r w:rsidRPr="00356999">
              <w:rPr>
                <w:b/>
              </w:rPr>
              <w:t>2010</w:t>
            </w:r>
          </w:p>
        </w:tc>
        <w:tc>
          <w:tcPr>
            <w:tcW w:w="1306" w:type="dxa"/>
          </w:tcPr>
          <w:p w:rsidR="00B04E3C" w:rsidRPr="00356999" w:rsidRDefault="00B04E3C" w:rsidP="00356999">
            <w:pPr>
              <w:spacing w:line="240" w:lineRule="auto"/>
              <w:jc w:val="center"/>
              <w:rPr>
                <w:b/>
              </w:rPr>
            </w:pPr>
            <w:r w:rsidRPr="00356999">
              <w:rPr>
                <w:b/>
              </w:rPr>
              <w:t>2050</w:t>
            </w:r>
          </w:p>
        </w:tc>
      </w:tr>
      <w:tr w:rsidR="00B04E3C" w:rsidRPr="00356999" w:rsidTr="00356999">
        <w:trPr>
          <w:trHeight w:val="277"/>
        </w:trPr>
        <w:tc>
          <w:tcPr>
            <w:tcW w:w="5868" w:type="dxa"/>
          </w:tcPr>
          <w:p w:rsidR="00B04E3C" w:rsidRPr="00356999" w:rsidRDefault="00B04E3C" w:rsidP="00356999">
            <w:pPr>
              <w:spacing w:line="240" w:lineRule="auto"/>
            </w:pPr>
            <w:r w:rsidRPr="00356999">
              <w:t>%    White, non-Hispanic</w:t>
            </w:r>
          </w:p>
        </w:tc>
        <w:tc>
          <w:tcPr>
            <w:tcW w:w="1710" w:type="dxa"/>
          </w:tcPr>
          <w:p w:rsidR="00B04E3C" w:rsidRPr="00356999" w:rsidRDefault="00B04E3C" w:rsidP="00356999">
            <w:pPr>
              <w:spacing w:line="240" w:lineRule="auto"/>
              <w:jc w:val="center"/>
            </w:pPr>
            <w:r w:rsidRPr="00356999">
              <w:t>64.7%</w:t>
            </w:r>
          </w:p>
        </w:tc>
        <w:tc>
          <w:tcPr>
            <w:tcW w:w="1306" w:type="dxa"/>
          </w:tcPr>
          <w:p w:rsidR="00B04E3C" w:rsidRPr="00356999" w:rsidRDefault="00B04E3C" w:rsidP="00356999">
            <w:pPr>
              <w:spacing w:line="240" w:lineRule="auto"/>
              <w:jc w:val="center"/>
            </w:pPr>
            <w:r w:rsidRPr="00356999">
              <w:t>46.3%</w:t>
            </w:r>
          </w:p>
        </w:tc>
      </w:tr>
      <w:tr w:rsidR="00B04E3C" w:rsidRPr="00356999" w:rsidTr="00356999">
        <w:trPr>
          <w:trHeight w:val="277"/>
        </w:trPr>
        <w:tc>
          <w:tcPr>
            <w:tcW w:w="5868" w:type="dxa"/>
          </w:tcPr>
          <w:p w:rsidR="00B04E3C" w:rsidRPr="00356999" w:rsidRDefault="00B04E3C" w:rsidP="00356999">
            <w:pPr>
              <w:spacing w:line="240" w:lineRule="auto"/>
            </w:pPr>
            <w:r w:rsidRPr="00356999">
              <w:t>%    Hispanic</w:t>
            </w:r>
          </w:p>
        </w:tc>
        <w:tc>
          <w:tcPr>
            <w:tcW w:w="1710" w:type="dxa"/>
          </w:tcPr>
          <w:p w:rsidR="00B04E3C" w:rsidRPr="00356999" w:rsidRDefault="00B04E3C" w:rsidP="00356999">
            <w:pPr>
              <w:spacing w:line="240" w:lineRule="auto"/>
              <w:jc w:val="center"/>
            </w:pPr>
            <w:r w:rsidRPr="00356999">
              <w:t>16.0%</w:t>
            </w:r>
          </w:p>
        </w:tc>
        <w:tc>
          <w:tcPr>
            <w:tcW w:w="1306" w:type="dxa"/>
          </w:tcPr>
          <w:p w:rsidR="00B04E3C" w:rsidRPr="00356999" w:rsidRDefault="00B04E3C" w:rsidP="00356999">
            <w:pPr>
              <w:spacing w:line="240" w:lineRule="auto"/>
              <w:jc w:val="center"/>
            </w:pPr>
            <w:r w:rsidRPr="00356999">
              <w:t>30.2%</w:t>
            </w:r>
          </w:p>
        </w:tc>
      </w:tr>
      <w:tr w:rsidR="00B04E3C" w:rsidRPr="00356999" w:rsidTr="00356999">
        <w:trPr>
          <w:trHeight w:val="277"/>
        </w:trPr>
        <w:tc>
          <w:tcPr>
            <w:tcW w:w="5868" w:type="dxa"/>
          </w:tcPr>
          <w:p w:rsidR="00B04E3C" w:rsidRPr="00356999" w:rsidRDefault="00B04E3C" w:rsidP="00356999">
            <w:pPr>
              <w:spacing w:line="240" w:lineRule="auto"/>
            </w:pPr>
            <w:r w:rsidRPr="00356999">
              <w:t>%    African American, Non-Hispanic</w:t>
            </w:r>
          </w:p>
        </w:tc>
        <w:tc>
          <w:tcPr>
            <w:tcW w:w="1710" w:type="dxa"/>
          </w:tcPr>
          <w:p w:rsidR="00B04E3C" w:rsidRPr="00356999" w:rsidRDefault="00B04E3C" w:rsidP="00356999">
            <w:pPr>
              <w:spacing w:line="240" w:lineRule="auto"/>
              <w:jc w:val="center"/>
            </w:pPr>
            <w:r w:rsidRPr="00356999">
              <w:t>12.2%</w:t>
            </w:r>
          </w:p>
        </w:tc>
        <w:tc>
          <w:tcPr>
            <w:tcW w:w="1306" w:type="dxa"/>
          </w:tcPr>
          <w:p w:rsidR="00B04E3C" w:rsidRPr="00356999" w:rsidRDefault="00B04E3C" w:rsidP="00356999">
            <w:pPr>
              <w:spacing w:line="240" w:lineRule="auto"/>
              <w:jc w:val="center"/>
            </w:pPr>
            <w:r w:rsidRPr="00356999">
              <w:t>11.8%</w:t>
            </w:r>
          </w:p>
        </w:tc>
      </w:tr>
      <w:tr w:rsidR="00B04E3C" w:rsidRPr="00356999" w:rsidTr="00356999">
        <w:trPr>
          <w:trHeight w:val="277"/>
        </w:trPr>
        <w:tc>
          <w:tcPr>
            <w:tcW w:w="5868" w:type="dxa"/>
          </w:tcPr>
          <w:p w:rsidR="00B04E3C" w:rsidRPr="00356999" w:rsidRDefault="00B04E3C" w:rsidP="00356999">
            <w:pPr>
              <w:spacing w:line="240" w:lineRule="auto"/>
            </w:pPr>
            <w:r w:rsidRPr="00356999">
              <w:t>%    Asian</w:t>
            </w:r>
          </w:p>
        </w:tc>
        <w:tc>
          <w:tcPr>
            <w:tcW w:w="1710" w:type="dxa"/>
          </w:tcPr>
          <w:p w:rsidR="00B04E3C" w:rsidRPr="00356999" w:rsidRDefault="00B04E3C" w:rsidP="00356999">
            <w:pPr>
              <w:spacing w:line="240" w:lineRule="auto"/>
              <w:jc w:val="center"/>
            </w:pPr>
            <w:r w:rsidRPr="00356999">
              <w:t>4.5%</w:t>
            </w:r>
          </w:p>
        </w:tc>
        <w:tc>
          <w:tcPr>
            <w:tcW w:w="1306" w:type="dxa"/>
          </w:tcPr>
          <w:p w:rsidR="00B04E3C" w:rsidRPr="00356999" w:rsidRDefault="00B04E3C" w:rsidP="00356999">
            <w:pPr>
              <w:spacing w:line="240" w:lineRule="auto"/>
              <w:jc w:val="center"/>
            </w:pPr>
            <w:r w:rsidRPr="00356999">
              <w:t>7.6%</w:t>
            </w:r>
          </w:p>
        </w:tc>
      </w:tr>
      <w:tr w:rsidR="00B04E3C" w:rsidRPr="00356999" w:rsidTr="00356999">
        <w:trPr>
          <w:trHeight w:val="277"/>
        </w:trPr>
        <w:tc>
          <w:tcPr>
            <w:tcW w:w="5868" w:type="dxa"/>
          </w:tcPr>
          <w:p w:rsidR="00B04E3C" w:rsidRPr="00356999" w:rsidRDefault="00B04E3C" w:rsidP="00356999">
            <w:pPr>
              <w:spacing w:line="240" w:lineRule="auto"/>
            </w:pPr>
            <w:r w:rsidRPr="00356999">
              <w:t>%    Native Hawaiian and Pacific Islander</w:t>
            </w:r>
          </w:p>
        </w:tc>
        <w:tc>
          <w:tcPr>
            <w:tcW w:w="1710" w:type="dxa"/>
          </w:tcPr>
          <w:p w:rsidR="00B04E3C" w:rsidRPr="00356999" w:rsidRDefault="00B04E3C" w:rsidP="00356999">
            <w:pPr>
              <w:spacing w:line="240" w:lineRule="auto"/>
              <w:jc w:val="center"/>
            </w:pPr>
            <w:r w:rsidRPr="00356999">
              <w:t>0.1%</w:t>
            </w:r>
          </w:p>
        </w:tc>
        <w:tc>
          <w:tcPr>
            <w:tcW w:w="1306" w:type="dxa"/>
          </w:tcPr>
          <w:p w:rsidR="00B04E3C" w:rsidRPr="00356999" w:rsidRDefault="00B04E3C" w:rsidP="00356999">
            <w:pPr>
              <w:spacing w:line="240" w:lineRule="auto"/>
              <w:jc w:val="center"/>
            </w:pPr>
            <w:r w:rsidRPr="00356999">
              <w:t>0.2%</w:t>
            </w:r>
          </w:p>
        </w:tc>
      </w:tr>
      <w:tr w:rsidR="00B04E3C" w:rsidRPr="00356999" w:rsidTr="00356999">
        <w:trPr>
          <w:trHeight w:val="277"/>
        </w:trPr>
        <w:tc>
          <w:tcPr>
            <w:tcW w:w="5868" w:type="dxa"/>
          </w:tcPr>
          <w:p w:rsidR="00B04E3C" w:rsidRPr="00356999" w:rsidRDefault="00B04E3C" w:rsidP="00356999">
            <w:pPr>
              <w:spacing w:line="240" w:lineRule="auto"/>
            </w:pPr>
            <w:r w:rsidRPr="00356999">
              <w:t>%   American Indian/ Alaskan Native</w:t>
            </w:r>
          </w:p>
        </w:tc>
        <w:tc>
          <w:tcPr>
            <w:tcW w:w="1710" w:type="dxa"/>
          </w:tcPr>
          <w:p w:rsidR="00B04E3C" w:rsidRPr="00356999" w:rsidRDefault="00B04E3C" w:rsidP="00356999">
            <w:pPr>
              <w:spacing w:line="240" w:lineRule="auto"/>
              <w:jc w:val="center"/>
            </w:pPr>
            <w:r w:rsidRPr="00356999">
              <w:t>0.8%</w:t>
            </w:r>
          </w:p>
        </w:tc>
        <w:tc>
          <w:tcPr>
            <w:tcW w:w="1306" w:type="dxa"/>
          </w:tcPr>
          <w:p w:rsidR="00B04E3C" w:rsidRPr="00356999" w:rsidRDefault="00B04E3C" w:rsidP="00356999">
            <w:pPr>
              <w:spacing w:line="240" w:lineRule="auto"/>
              <w:jc w:val="center"/>
            </w:pPr>
            <w:r w:rsidRPr="00356999">
              <w:t>0.8%</w:t>
            </w:r>
          </w:p>
        </w:tc>
      </w:tr>
      <w:tr w:rsidR="00B04E3C" w:rsidRPr="00356999" w:rsidTr="00356999">
        <w:trPr>
          <w:trHeight w:val="292"/>
        </w:trPr>
        <w:tc>
          <w:tcPr>
            <w:tcW w:w="5868" w:type="dxa"/>
          </w:tcPr>
          <w:p w:rsidR="00B04E3C" w:rsidRPr="00356999" w:rsidRDefault="00B04E3C" w:rsidP="00356999">
            <w:pPr>
              <w:spacing w:line="240" w:lineRule="auto"/>
            </w:pPr>
            <w:r w:rsidRPr="00356999">
              <w:t>%   Two or more races</w:t>
            </w:r>
          </w:p>
        </w:tc>
        <w:tc>
          <w:tcPr>
            <w:tcW w:w="1710" w:type="dxa"/>
          </w:tcPr>
          <w:p w:rsidR="00B04E3C" w:rsidRPr="00356999" w:rsidRDefault="00B04E3C" w:rsidP="00356999">
            <w:pPr>
              <w:spacing w:line="240" w:lineRule="auto"/>
              <w:jc w:val="center"/>
            </w:pPr>
            <w:r w:rsidRPr="00356999">
              <w:t>1.5%</w:t>
            </w:r>
          </w:p>
        </w:tc>
        <w:tc>
          <w:tcPr>
            <w:tcW w:w="1306" w:type="dxa"/>
          </w:tcPr>
          <w:p w:rsidR="00B04E3C" w:rsidRPr="00356999" w:rsidRDefault="00B04E3C" w:rsidP="00356999">
            <w:pPr>
              <w:spacing w:line="240" w:lineRule="auto"/>
              <w:jc w:val="center"/>
            </w:pPr>
            <w:r w:rsidRPr="00356999">
              <w:t>3.0%</w:t>
            </w:r>
          </w:p>
        </w:tc>
      </w:tr>
    </w:tbl>
    <w:p w:rsidR="00B04E3C" w:rsidRDefault="00B04E3C" w:rsidP="004B6A79">
      <w:pPr>
        <w:ind w:firstLine="720"/>
      </w:pPr>
    </w:p>
    <w:p w:rsidR="00B04E3C" w:rsidRDefault="00B04E3C" w:rsidP="004B6A79">
      <w:pPr>
        <w:ind w:firstLine="720"/>
      </w:pPr>
      <w:r>
        <w:t xml:space="preserve">The author believes that the changes projected for 2050 from the Kaiser Family (2011) Distribution of U. s. population by race/ethnicity (2010) may have a very good impact on the profession of nursing.  The author thinks that with the projected increase in the multiple different races will have a positive impact due to the fact that nursing will be more diverse in minority nursing and this could in fact play a big role in healthcare personnel being more diverse and cultural competent.  The author also thinks that this projected information could have a positive impact on the younger generation of minorities by them seeing an increase in minority healthcare providers will hopefully make them feel as though healthcare is a career field for them to go into and be successful at it. </w:t>
      </w:r>
    </w:p>
    <w:p w:rsidR="00B04E3C" w:rsidRDefault="00B04E3C" w:rsidP="004B6A79">
      <w:pPr>
        <w:ind w:firstLine="720"/>
      </w:pPr>
      <w:r>
        <w:t>After taking the time out to fill out the Heritage Assessment Tool (2000) and adding up the positive responses, the author personal identification with traditional heritage is great versus a North American, modern culture since the number of the positives the author had was high (greater) according to the Heritage Assessment Tool (2000).</w:t>
      </w:r>
    </w:p>
    <w:p w:rsidR="00B04E3C" w:rsidRDefault="00B04E3C" w:rsidP="004B6A79">
      <w:pPr>
        <w:ind w:firstLine="720"/>
      </w:pPr>
      <w:r>
        <w:t>According to McBride (n.d.) the following traditional strategies would be appropriate in preparing to assess culture in an older person:</w:t>
      </w:r>
    </w:p>
    <w:p w:rsidR="00B04E3C" w:rsidRDefault="00B04E3C" w:rsidP="001531F4">
      <w:pPr>
        <w:pStyle w:val="ListParagraph"/>
        <w:numPr>
          <w:ilvl w:val="0"/>
          <w:numId w:val="2"/>
        </w:numPr>
      </w:pPr>
      <w:r>
        <w:t>Avoid the “invisible patient syndrome” because older patients need to be talked to and with, rather than talked about.  Talking to someone else in the room as if the patient weren’t there (or is incapable of understanding) demonstrated disrespect (McBride, n.d.)</w:t>
      </w:r>
    </w:p>
    <w:p w:rsidR="00B04E3C" w:rsidRDefault="00B04E3C" w:rsidP="00055DD8">
      <w:pPr>
        <w:pStyle w:val="ListParagraph"/>
        <w:numPr>
          <w:ilvl w:val="0"/>
          <w:numId w:val="2"/>
        </w:numPr>
      </w:pPr>
      <w:r>
        <w:t>Ask for help in understanding the client’s cultural components by acknowledging the importance of ethnicity (McBride, n.d.).</w:t>
      </w:r>
    </w:p>
    <w:p w:rsidR="00B04E3C" w:rsidRDefault="00B04E3C" w:rsidP="00610227">
      <w:pPr>
        <w:ind w:firstLine="720"/>
      </w:pPr>
      <w:bookmarkStart w:id="0" w:name="_GoBack"/>
      <w:bookmarkEnd w:id="0"/>
      <w:r>
        <w:t>For each of the following categories, the nurse should implement the following</w:t>
      </w:r>
    </w:p>
    <w:p w:rsidR="00B04E3C" w:rsidRDefault="00B04E3C" w:rsidP="005D18BA">
      <w:r>
        <w:t>strategies as well for a specific identified cultural group:</w:t>
      </w:r>
    </w:p>
    <w:p w:rsidR="00B04E3C" w:rsidRDefault="00B04E3C" w:rsidP="00B5681B">
      <w:pPr>
        <w:pStyle w:val="ListParagraph"/>
        <w:numPr>
          <w:ilvl w:val="0"/>
          <w:numId w:val="3"/>
        </w:numPr>
      </w:pPr>
      <w:r>
        <w:t>Physical Distance:</w:t>
      </w:r>
      <w:r>
        <w:tab/>
        <w:t xml:space="preserve"> Provide patients with a choice about physical proximity by asking them to sit wherever they like (McBride, n.d.).  Individuals from some cultures (e.g., Northern European) tend to prefer to be about an arm’s length away from another person (McBride, n.d.).</w:t>
      </w:r>
    </w:p>
    <w:p w:rsidR="00B04E3C" w:rsidRDefault="00B04E3C" w:rsidP="00B5681B">
      <w:pPr>
        <w:pStyle w:val="ListParagraph"/>
        <w:numPr>
          <w:ilvl w:val="0"/>
          <w:numId w:val="3"/>
        </w:numPr>
      </w:pPr>
      <w:r>
        <w:t>Eye contact:  While European Americans typically encourage members to look people in the eye when speaking to them (McBride, n.d.).</w:t>
      </w:r>
    </w:p>
    <w:p w:rsidR="00B04E3C" w:rsidRDefault="00B04E3C" w:rsidP="00B5681B">
      <w:pPr>
        <w:pStyle w:val="ListParagraph"/>
        <w:numPr>
          <w:ilvl w:val="0"/>
          <w:numId w:val="3"/>
        </w:numPr>
      </w:pPr>
      <w:r>
        <w:t>Emotional Expressiveness:  Some cultures value stoicism (e.g., British [McBride, n.d.]).</w:t>
      </w:r>
    </w:p>
    <w:p w:rsidR="00B04E3C" w:rsidRDefault="00B04E3C" w:rsidP="0094369C">
      <w:pPr>
        <w:pStyle w:val="ListParagraph"/>
        <w:numPr>
          <w:ilvl w:val="0"/>
          <w:numId w:val="3"/>
        </w:numPr>
      </w:pPr>
      <w:r>
        <w:t>Body Movements:  Body gestures can be easily misinterpreted based on what is considered culturally appropriate.  Individuals from some cultures may consider some types of finger pointing or other typical American hand gestures or body postures disrespectful or obscene (e.g., Filipino, Chinese, Iranian [McBride, n.d.]).</w:t>
      </w:r>
    </w:p>
    <w:p w:rsidR="00B04E3C" w:rsidRDefault="00B04E3C" w:rsidP="00610227">
      <w:pPr>
        <w:ind w:firstLine="720"/>
      </w:pPr>
      <w:r>
        <w:t>After watch the video “Cultural Competence for Healthcare Providers” (2009),</w:t>
      </w:r>
    </w:p>
    <w:p w:rsidR="00B04E3C" w:rsidRDefault="00B04E3C" w:rsidP="005D18BA">
      <w:r>
        <w:t xml:space="preserve">the author did not gain (acquire) any additional (new) information.  However, the author reaction to the content is the same in which she agrees with and have seen happen multiple times.  The author has seen firsthand how frustrating it can be for non-English speaking cultures (people) to go into a place (e.g., restaurant, stores, clinics, etc.) and no one in the place has a clue to what they are saying and or asking.  I think in healthcare it is a must (a number 1 priority) that they have Spanish, French, and any and all other language interpreters available to help these individuals out so that they don’t feel helpless in a time of need.  Overall the “Cultural Competence for Healthcare Providers” (2009) video really did a good job at showing just how frustrating it can be to a non-English speaking individual when others (English speaking individuals), especially healthcare providers / employees can’t help them because they lack some kind of cultural competence in understanding how to help these individuals.  The author understands greatly the importance of having fluent multi-language speaking individuals employed just about everywhere, not just in healthcare.  She has stressed to her school age family members the importance of taking Spanish throughout their school years so that they can be very helpful to those non-English speaking culture.  It also bothers her that she unfortunately only speaks English because it makes her feel as though she is not fully cultural competent.  </w:t>
      </w:r>
    </w:p>
    <w:p w:rsidR="00B04E3C" w:rsidRDefault="00B04E3C">
      <w:r>
        <w:br w:type="page"/>
      </w:r>
    </w:p>
    <w:p w:rsidR="00B04E3C" w:rsidRDefault="00B04E3C" w:rsidP="007510DD">
      <w:pPr>
        <w:ind w:firstLine="720"/>
        <w:jc w:val="center"/>
      </w:pPr>
      <w:r>
        <w:t>References</w:t>
      </w:r>
    </w:p>
    <w:p w:rsidR="00B04E3C" w:rsidRPr="007E5645" w:rsidRDefault="00B04E3C" w:rsidP="007510DD">
      <w:pPr>
        <w:ind w:firstLine="720"/>
      </w:pPr>
      <w:r>
        <w:t xml:space="preserve">Betancourt, J. R., Green, A. R., &amp; Carrillo, J. E. (2002).  </w:t>
      </w:r>
      <w:r>
        <w:rPr>
          <w:i/>
        </w:rPr>
        <w:t xml:space="preserve">Cultural competence in health care: Emerging frameworks and practical approaches. </w:t>
      </w:r>
      <w:smartTag w:uri="urn:schemas-microsoft-com:office:smarttags" w:element="place">
        <w:smartTag w:uri="urn:schemas-microsoft-com:office:smarttags" w:element="State">
          <w:r>
            <w:t>New York</w:t>
          </w:r>
        </w:smartTag>
      </w:smartTag>
      <w:r>
        <w:t>: The Commonwealth Fund. Retrieved from</w:t>
      </w:r>
    </w:p>
    <w:p w:rsidR="00B04E3C" w:rsidRPr="00DE1F25" w:rsidRDefault="00B04E3C" w:rsidP="007510DD">
      <w:pPr>
        <w:ind w:firstLine="720"/>
      </w:pPr>
      <w:r w:rsidRPr="00DE1F25">
        <w:rPr>
          <w:i/>
        </w:rPr>
        <w:t>Cul</w:t>
      </w:r>
      <w:r>
        <w:rPr>
          <w:i/>
        </w:rPr>
        <w:t xml:space="preserve">tural competence for health care providers. </w:t>
      </w:r>
      <w:r>
        <w:t xml:space="preserve">(2009). </w:t>
      </w:r>
      <w:smartTag w:uri="urn:schemas-microsoft-com:office:smarttags" w:element="PlaceName">
        <w:smartTag w:uri="urn:schemas-microsoft-com:office:smarttags" w:element="place">
          <w:r>
            <w:t>Jefferson</w:t>
          </w:r>
        </w:smartTag>
        <w:r>
          <w:t xml:space="preserve"> </w:t>
        </w:r>
        <w:smartTag w:uri="urn:schemas-microsoft-com:office:smarttags" w:element="PlaceType">
          <w:r>
            <w:t>Center</w:t>
          </w:r>
        </w:smartTag>
      </w:smartTag>
      <w:r>
        <w:t xml:space="preserve"> for Interprofessional Education [video]. A digital media development production. Retrieved from http://www.youtube.com/watch?v=dNLtAj0wy61</w:t>
      </w:r>
    </w:p>
    <w:p w:rsidR="00B04E3C" w:rsidRDefault="00B04E3C" w:rsidP="007510DD">
      <w:pPr>
        <w:ind w:firstLine="720"/>
      </w:pPr>
      <w:r>
        <w:t xml:space="preserve">In.WriteWork.com. (2006). </w:t>
      </w:r>
      <w:r>
        <w:rPr>
          <w:i/>
        </w:rPr>
        <w:t xml:space="preserve">List and define 5 components of all human cultures. </w:t>
      </w:r>
      <w:r>
        <w:t xml:space="preserve">Retrieved from </w:t>
      </w:r>
      <w:hyperlink r:id="rId7" w:history="1">
        <w:r w:rsidRPr="00385A22">
          <w:rPr>
            <w:rStyle w:val="Hyperlink"/>
          </w:rPr>
          <w:t>http://www.writework.com/essay/list-and-define-5-components-all-human-cultures-why-do-you</w:t>
        </w:r>
      </w:hyperlink>
    </w:p>
    <w:p w:rsidR="00B04E3C" w:rsidRDefault="00B04E3C" w:rsidP="007510DD">
      <w:pPr>
        <w:ind w:firstLine="720"/>
      </w:pPr>
      <w:r>
        <w:t>Kaiser Family Foundation. (2010). Distribution</w:t>
      </w:r>
      <w:r>
        <w:rPr>
          <w:i/>
        </w:rPr>
        <w:t xml:space="preserve"> of </w:t>
      </w:r>
      <w:smartTag w:uri="urn:schemas-microsoft-com:office:smarttags" w:element="country-region">
        <w:smartTag w:uri="urn:schemas-microsoft-com:office:smarttags" w:element="place">
          <w:r>
            <w:rPr>
              <w:i/>
            </w:rPr>
            <w:t>U.S.</w:t>
          </w:r>
        </w:smartTag>
      </w:smartTag>
      <w:r>
        <w:rPr>
          <w:i/>
        </w:rPr>
        <w:t xml:space="preserve"> Population by Race/Ethnicity, 2010 and 2050.</w:t>
      </w:r>
      <w:r>
        <w:t xml:space="preserve"> Retrieved from </w:t>
      </w:r>
      <w:hyperlink r:id="rId8" w:history="1">
        <w:r w:rsidRPr="00385A22">
          <w:rPr>
            <w:rStyle w:val="Hyperlink"/>
          </w:rPr>
          <w:t>http://facts.kff.org/chart.aspx?ch=364</w:t>
        </w:r>
      </w:hyperlink>
    </w:p>
    <w:p w:rsidR="00B04E3C" w:rsidRDefault="00B04E3C" w:rsidP="007510DD">
      <w:pPr>
        <w:ind w:firstLine="720"/>
      </w:pPr>
      <w:r>
        <w:t xml:space="preserve">McBride, M. (n.d.). </w:t>
      </w:r>
      <w:r>
        <w:rPr>
          <w:i/>
        </w:rPr>
        <w:t xml:space="preserve">Ethnogeriatrics and cultural competence for nursing practice. </w:t>
      </w:r>
      <w:r>
        <w:t xml:space="preserve">Hartford Institute for geriatric Nursing. (2012). Retrieved from </w:t>
      </w:r>
      <w:hyperlink r:id="rId9" w:history="1">
        <w:r w:rsidRPr="00385A22">
          <w:rPr>
            <w:rStyle w:val="Hyperlink"/>
          </w:rPr>
          <w:t>http://consultgerirn.org/topics/ethnogeriatrics_and_cultural_competence_for_nursing_practice/want_to_know_more</w:t>
        </w:r>
      </w:hyperlink>
    </w:p>
    <w:p w:rsidR="00B04E3C" w:rsidRDefault="00B04E3C" w:rsidP="007C5E83">
      <w:pPr>
        <w:ind w:firstLine="720"/>
      </w:pPr>
      <w:r>
        <w:t>Spector, R. E. (2000).</w:t>
      </w:r>
      <w:r>
        <w:rPr>
          <w:i/>
        </w:rPr>
        <w:t xml:space="preserve"> </w:t>
      </w:r>
      <w:r>
        <w:t xml:space="preserve">Heritage Assessment Tool. In. R. Spector (Ed.), </w:t>
      </w:r>
      <w:r>
        <w:rPr>
          <w:i/>
        </w:rPr>
        <w:t>Culture care: Guide to heritage assessment and health traditions (5</w:t>
      </w:r>
      <w:r w:rsidRPr="00B154FE">
        <w:rPr>
          <w:i/>
          <w:vertAlign w:val="superscript"/>
        </w:rPr>
        <w:t>th</w:t>
      </w:r>
      <w:r>
        <w:rPr>
          <w:i/>
        </w:rPr>
        <w:t xml:space="preserve"> ed.). </w:t>
      </w:r>
      <w:r>
        <w:t xml:space="preserve">Upper Saddle River, NJ: Pearson Education/PH College. Retrieved from </w:t>
      </w:r>
      <w:hyperlink r:id="rId10" w:history="1">
        <w:r w:rsidRPr="00385A22">
          <w:rPr>
            <w:rStyle w:val="Hyperlink"/>
          </w:rPr>
          <w:t>http://wps.prenhall.com/wps/media/objects/663/679611/box_6_1.pdf</w:t>
        </w:r>
      </w:hyperlink>
    </w:p>
    <w:p w:rsidR="00B04E3C" w:rsidRDefault="00B04E3C" w:rsidP="007C5E83">
      <w:pPr>
        <w:ind w:firstLine="720"/>
      </w:pPr>
      <w:r>
        <w:t xml:space="preserve">Wikipedia, the free encyclopedia. (2013). </w:t>
      </w:r>
      <w:r>
        <w:rPr>
          <w:i/>
        </w:rPr>
        <w:t xml:space="preserve">Ethnocentrism. </w:t>
      </w:r>
      <w:r>
        <w:t xml:space="preserve">Retrieved from </w:t>
      </w:r>
      <w:hyperlink r:id="rId11" w:history="1">
        <w:r w:rsidRPr="00385A22">
          <w:rPr>
            <w:rStyle w:val="Hyperlink"/>
          </w:rPr>
          <w:t>http://en.wikipedia.org/wiki/Ethnocentrism</w:t>
        </w:r>
      </w:hyperlink>
    </w:p>
    <w:p w:rsidR="00B04E3C" w:rsidRDefault="00B04E3C" w:rsidP="007C5E83">
      <w:pPr>
        <w:ind w:firstLine="720"/>
      </w:pPr>
    </w:p>
    <w:p w:rsidR="00B04E3C" w:rsidRDefault="00B04E3C" w:rsidP="007510DD">
      <w:pPr>
        <w:ind w:firstLine="720"/>
      </w:pPr>
    </w:p>
    <w:p w:rsidR="00B04E3C" w:rsidRPr="002B70CE" w:rsidRDefault="00B04E3C" w:rsidP="007510DD">
      <w:pPr>
        <w:ind w:firstLine="720"/>
      </w:pPr>
    </w:p>
    <w:p w:rsidR="00B04E3C" w:rsidRPr="00140C75" w:rsidRDefault="00B04E3C" w:rsidP="007510DD">
      <w:pPr>
        <w:ind w:firstLine="720"/>
      </w:pPr>
    </w:p>
    <w:p w:rsidR="00B04E3C" w:rsidRDefault="00B04E3C" w:rsidP="004B6A79"/>
    <w:sectPr w:rsidR="00B04E3C" w:rsidSect="00636496">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E3C" w:rsidRDefault="00B04E3C" w:rsidP="00636496">
      <w:pPr>
        <w:spacing w:line="240" w:lineRule="auto"/>
      </w:pPr>
      <w:r>
        <w:separator/>
      </w:r>
    </w:p>
  </w:endnote>
  <w:endnote w:type="continuationSeparator" w:id="0">
    <w:p w:rsidR="00B04E3C" w:rsidRDefault="00B04E3C" w:rsidP="0063649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E3C" w:rsidRDefault="00B04E3C" w:rsidP="00636496">
      <w:pPr>
        <w:spacing w:line="240" w:lineRule="auto"/>
      </w:pPr>
      <w:r>
        <w:separator/>
      </w:r>
    </w:p>
  </w:footnote>
  <w:footnote w:type="continuationSeparator" w:id="0">
    <w:p w:rsidR="00B04E3C" w:rsidRDefault="00B04E3C" w:rsidP="0063649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E3C" w:rsidRDefault="00B04E3C">
    <w:pPr>
      <w:pStyle w:val="Header"/>
      <w:jc w:val="right"/>
    </w:pPr>
    <w:r>
      <w:t xml:space="preserve">CASE STUDY                                                                                                                                 </w:t>
    </w:r>
    <w:fldSimple w:instr=" PAGE   \* MERGEFORMAT ">
      <w:r>
        <w:rPr>
          <w:noProof/>
        </w:rPr>
        <w:t>4</w:t>
      </w:r>
    </w:fldSimple>
  </w:p>
  <w:p w:rsidR="00B04E3C" w:rsidRDefault="00B04E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E3C" w:rsidRDefault="00B04E3C">
    <w:pPr>
      <w:pStyle w:val="Header"/>
    </w:pPr>
    <w:r>
      <w:t>Running head: CASE 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694105"/>
    <w:multiLevelType w:val="hybridMultilevel"/>
    <w:tmpl w:val="3ED045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AEF76B7"/>
    <w:multiLevelType w:val="hybridMultilevel"/>
    <w:tmpl w:val="4FAAA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5E823D5"/>
    <w:multiLevelType w:val="hybridMultilevel"/>
    <w:tmpl w:val="A67A272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6496"/>
    <w:rsid w:val="000228DF"/>
    <w:rsid w:val="00031E10"/>
    <w:rsid w:val="00042D03"/>
    <w:rsid w:val="00055DD8"/>
    <w:rsid w:val="000F294E"/>
    <w:rsid w:val="00104DDE"/>
    <w:rsid w:val="00116C03"/>
    <w:rsid w:val="00140C75"/>
    <w:rsid w:val="001531F4"/>
    <w:rsid w:val="0016048F"/>
    <w:rsid w:val="001E2D28"/>
    <w:rsid w:val="001E465D"/>
    <w:rsid w:val="001F7D65"/>
    <w:rsid w:val="002A1348"/>
    <w:rsid w:val="002B70CE"/>
    <w:rsid w:val="002E6B05"/>
    <w:rsid w:val="002F0398"/>
    <w:rsid w:val="002F34FC"/>
    <w:rsid w:val="003504DE"/>
    <w:rsid w:val="00356999"/>
    <w:rsid w:val="00385A22"/>
    <w:rsid w:val="003D6B38"/>
    <w:rsid w:val="00420C07"/>
    <w:rsid w:val="004212FB"/>
    <w:rsid w:val="00473A46"/>
    <w:rsid w:val="00491273"/>
    <w:rsid w:val="004B6A79"/>
    <w:rsid w:val="004C0FD7"/>
    <w:rsid w:val="004E5DDE"/>
    <w:rsid w:val="004F5E5F"/>
    <w:rsid w:val="0053240A"/>
    <w:rsid w:val="00533297"/>
    <w:rsid w:val="00557942"/>
    <w:rsid w:val="00574595"/>
    <w:rsid w:val="00587045"/>
    <w:rsid w:val="00592560"/>
    <w:rsid w:val="005C1F37"/>
    <w:rsid w:val="005C2A32"/>
    <w:rsid w:val="005C3976"/>
    <w:rsid w:val="005D18BA"/>
    <w:rsid w:val="005E7657"/>
    <w:rsid w:val="00610227"/>
    <w:rsid w:val="006103F8"/>
    <w:rsid w:val="00634AA7"/>
    <w:rsid w:val="00636496"/>
    <w:rsid w:val="00671A3C"/>
    <w:rsid w:val="006814D6"/>
    <w:rsid w:val="006D10AC"/>
    <w:rsid w:val="00701BA5"/>
    <w:rsid w:val="00716519"/>
    <w:rsid w:val="00742963"/>
    <w:rsid w:val="007510DD"/>
    <w:rsid w:val="00782889"/>
    <w:rsid w:val="007A04CA"/>
    <w:rsid w:val="007C5E83"/>
    <w:rsid w:val="007E5645"/>
    <w:rsid w:val="008220C0"/>
    <w:rsid w:val="008B1DFC"/>
    <w:rsid w:val="008D1748"/>
    <w:rsid w:val="0094369C"/>
    <w:rsid w:val="009620A2"/>
    <w:rsid w:val="00992EB3"/>
    <w:rsid w:val="009F5039"/>
    <w:rsid w:val="00A339D9"/>
    <w:rsid w:val="00A727AC"/>
    <w:rsid w:val="00A83DF1"/>
    <w:rsid w:val="00AC11E4"/>
    <w:rsid w:val="00AC1990"/>
    <w:rsid w:val="00AC58EF"/>
    <w:rsid w:val="00AF5CEC"/>
    <w:rsid w:val="00B04E3C"/>
    <w:rsid w:val="00B154FE"/>
    <w:rsid w:val="00B537C5"/>
    <w:rsid w:val="00B5681B"/>
    <w:rsid w:val="00BE635C"/>
    <w:rsid w:val="00C272E8"/>
    <w:rsid w:val="00C74D6F"/>
    <w:rsid w:val="00CA63C8"/>
    <w:rsid w:val="00D253A4"/>
    <w:rsid w:val="00D871D2"/>
    <w:rsid w:val="00DB7148"/>
    <w:rsid w:val="00DC4CC1"/>
    <w:rsid w:val="00DE1F25"/>
    <w:rsid w:val="00DF4B3D"/>
    <w:rsid w:val="00E05BE4"/>
    <w:rsid w:val="00E303F0"/>
    <w:rsid w:val="00E41FEB"/>
    <w:rsid w:val="00E42EBC"/>
    <w:rsid w:val="00E52A2B"/>
    <w:rsid w:val="00EA513B"/>
    <w:rsid w:val="00EA5D7C"/>
    <w:rsid w:val="00EA6496"/>
    <w:rsid w:val="00EB4342"/>
    <w:rsid w:val="00EE37AD"/>
    <w:rsid w:val="00EF55C8"/>
    <w:rsid w:val="00FF45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2E8"/>
    <w:pPr>
      <w:spacing w:line="48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6496"/>
    <w:pPr>
      <w:tabs>
        <w:tab w:val="center" w:pos="4680"/>
        <w:tab w:val="right" w:pos="9360"/>
      </w:tabs>
      <w:spacing w:line="240" w:lineRule="auto"/>
    </w:pPr>
  </w:style>
  <w:style w:type="character" w:customStyle="1" w:styleId="HeaderChar">
    <w:name w:val="Header Char"/>
    <w:basedOn w:val="DefaultParagraphFont"/>
    <w:link w:val="Header"/>
    <w:uiPriority w:val="99"/>
    <w:locked/>
    <w:rsid w:val="00636496"/>
    <w:rPr>
      <w:rFonts w:cs="Times New Roman"/>
    </w:rPr>
  </w:style>
  <w:style w:type="paragraph" w:styleId="Footer">
    <w:name w:val="footer"/>
    <w:basedOn w:val="Normal"/>
    <w:link w:val="FooterChar"/>
    <w:uiPriority w:val="99"/>
    <w:rsid w:val="00636496"/>
    <w:pPr>
      <w:tabs>
        <w:tab w:val="center" w:pos="4680"/>
        <w:tab w:val="right" w:pos="9360"/>
      </w:tabs>
      <w:spacing w:line="240" w:lineRule="auto"/>
    </w:pPr>
  </w:style>
  <w:style w:type="character" w:customStyle="1" w:styleId="FooterChar">
    <w:name w:val="Footer Char"/>
    <w:basedOn w:val="DefaultParagraphFont"/>
    <w:link w:val="Footer"/>
    <w:uiPriority w:val="99"/>
    <w:locked/>
    <w:rsid w:val="00636496"/>
    <w:rPr>
      <w:rFonts w:cs="Times New Roman"/>
    </w:rPr>
  </w:style>
  <w:style w:type="paragraph" w:styleId="ListParagraph">
    <w:name w:val="List Paragraph"/>
    <w:basedOn w:val="Normal"/>
    <w:uiPriority w:val="99"/>
    <w:qFormat/>
    <w:rsid w:val="004B6A79"/>
    <w:pPr>
      <w:ind w:left="720"/>
      <w:contextualSpacing/>
    </w:pPr>
  </w:style>
  <w:style w:type="table" w:styleId="TableGrid">
    <w:name w:val="Table Grid"/>
    <w:basedOn w:val="TableNormal"/>
    <w:uiPriority w:val="99"/>
    <w:rsid w:val="004B6A7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40C7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cts.kff.org/chart.aspx?ch=364"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writework.com/essay/list-and-define-5-components-all-human-cultures-why-do-yo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Ethnocentris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ps.prenhall.com/wps/media/objects/663/679611/box_6_1.pdf" TargetMode="External"/><Relationship Id="rId4" Type="http://schemas.openxmlformats.org/officeDocument/2006/relationships/webSettings" Target="webSettings.xml"/><Relationship Id="rId9" Type="http://schemas.openxmlformats.org/officeDocument/2006/relationships/hyperlink" Target="http://consultgerirn.org/topics/ethnogeriatrics_and_cultural_competence_for_nursing_practice/want_to_know_mo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236</TotalTime>
  <Pages>7</Pages>
  <Words>1333</Words>
  <Characters>7600</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Rae</dc:creator>
  <cp:keywords/>
  <dc:description/>
  <cp:lastModifiedBy>Carle</cp:lastModifiedBy>
  <cp:revision>89</cp:revision>
  <dcterms:created xsi:type="dcterms:W3CDTF">2013-01-13T01:54:00Z</dcterms:created>
  <dcterms:modified xsi:type="dcterms:W3CDTF">2013-03-30T03:32:00Z</dcterms:modified>
</cp:coreProperties>
</file>