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65" w:rsidRDefault="00D34765" w:rsidP="0043493F">
      <w:bookmarkStart w:id="0" w:name="_GoBack"/>
      <w:bookmarkEnd w:id="0"/>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jc w:val="center"/>
      </w:pPr>
      <w:r>
        <w:t>Case Study 18.1: Culturally Specific Care</w:t>
      </w:r>
    </w:p>
    <w:p w:rsidR="00D34765" w:rsidRDefault="00D34765" w:rsidP="00D34765">
      <w:pPr>
        <w:ind w:left="360"/>
        <w:jc w:val="center"/>
      </w:pPr>
    </w:p>
    <w:p w:rsidR="00D34765" w:rsidRDefault="00D34765" w:rsidP="00D34765">
      <w:pPr>
        <w:ind w:left="360"/>
        <w:jc w:val="center"/>
      </w:pPr>
      <w:r>
        <w:t>N309 Nursing Gerontology</w:t>
      </w:r>
    </w:p>
    <w:p w:rsidR="00D34765" w:rsidRDefault="00D34765" w:rsidP="00D34765">
      <w:pPr>
        <w:ind w:left="360"/>
        <w:jc w:val="center"/>
      </w:pPr>
    </w:p>
    <w:p w:rsidR="00D34765" w:rsidRDefault="001241DC" w:rsidP="00D34765">
      <w:pPr>
        <w:ind w:left="360"/>
        <w:jc w:val="center"/>
      </w:pPr>
      <w:r>
        <w:t>November 18</w:t>
      </w:r>
      <w:r w:rsidR="00D34765">
        <w:t>, 2012</w:t>
      </w:r>
    </w:p>
    <w:p w:rsidR="00D34765" w:rsidRDefault="00D34765" w:rsidP="00D34765">
      <w:pPr>
        <w:ind w:left="360"/>
        <w:jc w:val="center"/>
      </w:pPr>
    </w:p>
    <w:p w:rsidR="00D34765" w:rsidRDefault="00D34765" w:rsidP="00D34765">
      <w:pPr>
        <w:ind w:left="360"/>
        <w:jc w:val="center"/>
      </w:pPr>
      <w:r>
        <w:t>Brittany Algee</w:t>
      </w: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D34765" w:rsidRDefault="00D34765" w:rsidP="00D34765">
      <w:pPr>
        <w:ind w:left="360"/>
      </w:pPr>
    </w:p>
    <w:p w:rsidR="0043493F" w:rsidRDefault="001241DC" w:rsidP="001241DC">
      <w:r>
        <w:lastRenderedPageBreak/>
        <w:t xml:space="preserve">      </w:t>
      </w:r>
      <w:r w:rsidR="00D34765">
        <w:t>1. Five</w:t>
      </w:r>
      <w:r w:rsidR="0043493F">
        <w:t xml:space="preserve"> components of culture:</w:t>
      </w:r>
    </w:p>
    <w:p w:rsidR="0043493F" w:rsidRDefault="00FB309C" w:rsidP="0043493F">
      <w:pPr>
        <w:numPr>
          <w:ilvl w:val="1"/>
          <w:numId w:val="1"/>
        </w:numPr>
      </w:pPr>
      <w:r>
        <w:t>Symbols</w:t>
      </w:r>
    </w:p>
    <w:p w:rsidR="0043493F" w:rsidRDefault="0043493F" w:rsidP="0043493F">
      <w:pPr>
        <w:numPr>
          <w:ilvl w:val="1"/>
          <w:numId w:val="1"/>
        </w:numPr>
      </w:pPr>
      <w:r>
        <w:t>Language</w:t>
      </w:r>
    </w:p>
    <w:p w:rsidR="0043493F" w:rsidRDefault="0043493F" w:rsidP="0043493F">
      <w:pPr>
        <w:numPr>
          <w:ilvl w:val="1"/>
          <w:numId w:val="1"/>
        </w:numPr>
      </w:pPr>
      <w:r>
        <w:t>Values and beliefs</w:t>
      </w:r>
    </w:p>
    <w:p w:rsidR="0043493F" w:rsidRDefault="0043493F" w:rsidP="0043493F">
      <w:pPr>
        <w:numPr>
          <w:ilvl w:val="1"/>
          <w:numId w:val="1"/>
        </w:numPr>
      </w:pPr>
      <w:r>
        <w:t>Norms</w:t>
      </w:r>
    </w:p>
    <w:p w:rsidR="0043493F" w:rsidRDefault="0043493F" w:rsidP="0043493F">
      <w:pPr>
        <w:numPr>
          <w:ilvl w:val="1"/>
          <w:numId w:val="1"/>
        </w:numPr>
      </w:pPr>
      <w:r>
        <w:t>Material culture and technology.</w:t>
      </w:r>
    </w:p>
    <w:p w:rsidR="0043493F" w:rsidRDefault="0043493F" w:rsidP="0043493F"/>
    <w:p w:rsidR="0043493F" w:rsidRDefault="0043493F" w:rsidP="0000420A">
      <w:pPr>
        <w:numPr>
          <w:ilvl w:val="0"/>
          <w:numId w:val="1"/>
        </w:numPr>
      </w:pPr>
      <w:r>
        <w:t>Ethnocen</w:t>
      </w:r>
      <w:r w:rsidR="001241DC">
        <w:t>tric is defined as the belief</w:t>
      </w:r>
      <w:r>
        <w:t xml:space="preserve"> that ones own group is superior. An example of this that I personally experienced was </w:t>
      </w:r>
      <w:r w:rsidR="00C10B77">
        <w:t xml:space="preserve">not specifically </w:t>
      </w:r>
      <w:r w:rsidR="0000420A">
        <w:t>an</w:t>
      </w:r>
      <w:r w:rsidR="00C10B77">
        <w:t xml:space="preserve"> ethnocentric statement but the responses made to a situation that occurred implied </w:t>
      </w:r>
      <w:r w:rsidR="0000420A">
        <w:t>an</w:t>
      </w:r>
      <w:r w:rsidR="00C10B77">
        <w:t xml:space="preserve"> ethnocentric tone. There was a pa</w:t>
      </w:r>
      <w:r w:rsidR="0000420A">
        <w:t>tient that was a gunshot injury</w:t>
      </w:r>
      <w:r w:rsidR="00C10B77">
        <w:t xml:space="preserve"> </w:t>
      </w:r>
      <w:r w:rsidR="0000420A">
        <w:t>and i</w:t>
      </w:r>
      <w:r w:rsidR="00C10B77">
        <w:t xml:space="preserve">ndividuals began making comments about there being gang bangers coming to retaliate and that they were going to hide in the other rooms. </w:t>
      </w:r>
      <w:r w:rsidR="0000420A">
        <w:t>Due to his injury they assumed that he was affiliated with very bad people</w:t>
      </w:r>
      <w:r w:rsidR="001241DC">
        <w:t xml:space="preserve"> when they arrived</w:t>
      </w:r>
      <w:r w:rsidR="0000420A">
        <w:t xml:space="preserve">. </w:t>
      </w:r>
      <w:r w:rsidR="00C10B77">
        <w:t>Comments were made that were very stereotypical and assumed</w:t>
      </w:r>
      <w:r w:rsidR="001241DC">
        <w:t xml:space="preserve"> that because the individual had</w:t>
      </w:r>
      <w:r w:rsidR="00C10B77">
        <w:t xml:space="preserve"> a gunshot wound he was a bad person. Ethnicity and cultural beliefs played a large role in the perceptions that were verbalized. </w:t>
      </w:r>
      <w:r w:rsidR="0000420A">
        <w:t xml:space="preserve">The ethnic and cultural differences were displayed as if their particular ethnicity and culture would never have such an incident occur unless it was an accident. </w:t>
      </w:r>
    </w:p>
    <w:p w:rsidR="0000420A" w:rsidRDefault="0000420A" w:rsidP="0000420A">
      <w:pPr>
        <w:numPr>
          <w:ilvl w:val="0"/>
          <w:numId w:val="1"/>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96"/>
        <w:gridCol w:w="1224"/>
      </w:tblGrid>
      <w:tr w:rsidR="0000420A" w:rsidTr="00D77AAA">
        <w:tc>
          <w:tcPr>
            <w:tcW w:w="4608" w:type="dxa"/>
            <w:shd w:val="clear" w:color="auto" w:fill="auto"/>
          </w:tcPr>
          <w:p w:rsidR="0000420A" w:rsidRDefault="0000420A" w:rsidP="0000420A"/>
        </w:tc>
        <w:tc>
          <w:tcPr>
            <w:tcW w:w="1296" w:type="dxa"/>
            <w:shd w:val="clear" w:color="auto" w:fill="auto"/>
          </w:tcPr>
          <w:p w:rsidR="0000420A" w:rsidRDefault="0000420A" w:rsidP="0000420A">
            <w:r>
              <w:t>2010</w:t>
            </w:r>
          </w:p>
        </w:tc>
        <w:tc>
          <w:tcPr>
            <w:tcW w:w="1224" w:type="dxa"/>
            <w:shd w:val="clear" w:color="auto" w:fill="auto"/>
          </w:tcPr>
          <w:p w:rsidR="0000420A" w:rsidRDefault="0000420A" w:rsidP="0000420A">
            <w:r>
              <w:t>2050</w:t>
            </w:r>
          </w:p>
        </w:tc>
      </w:tr>
      <w:tr w:rsidR="0000420A" w:rsidTr="00D77AAA">
        <w:tc>
          <w:tcPr>
            <w:tcW w:w="4608" w:type="dxa"/>
            <w:shd w:val="clear" w:color="auto" w:fill="auto"/>
          </w:tcPr>
          <w:p w:rsidR="0000420A" w:rsidRDefault="0000420A" w:rsidP="0000420A">
            <w:r>
              <w:t>% White Non-Hispanic</w:t>
            </w:r>
          </w:p>
        </w:tc>
        <w:tc>
          <w:tcPr>
            <w:tcW w:w="1296" w:type="dxa"/>
            <w:shd w:val="clear" w:color="auto" w:fill="auto"/>
          </w:tcPr>
          <w:p w:rsidR="0000420A" w:rsidRDefault="00677717" w:rsidP="0000420A">
            <w:r>
              <w:t>64.7%</w:t>
            </w:r>
          </w:p>
        </w:tc>
        <w:tc>
          <w:tcPr>
            <w:tcW w:w="1224" w:type="dxa"/>
            <w:shd w:val="clear" w:color="auto" w:fill="auto"/>
          </w:tcPr>
          <w:p w:rsidR="0000420A" w:rsidRDefault="00677717" w:rsidP="0000420A">
            <w:r>
              <w:t>46.3%</w:t>
            </w:r>
          </w:p>
        </w:tc>
      </w:tr>
      <w:tr w:rsidR="0000420A" w:rsidTr="00D77AAA">
        <w:tc>
          <w:tcPr>
            <w:tcW w:w="4608" w:type="dxa"/>
            <w:shd w:val="clear" w:color="auto" w:fill="auto"/>
          </w:tcPr>
          <w:p w:rsidR="0000420A" w:rsidRDefault="0000420A" w:rsidP="0000420A">
            <w:r>
              <w:t>% Hispanic</w:t>
            </w:r>
          </w:p>
        </w:tc>
        <w:tc>
          <w:tcPr>
            <w:tcW w:w="1296" w:type="dxa"/>
            <w:shd w:val="clear" w:color="auto" w:fill="auto"/>
          </w:tcPr>
          <w:p w:rsidR="0000420A" w:rsidRDefault="00677717" w:rsidP="0000420A">
            <w:r>
              <w:t>16%</w:t>
            </w:r>
          </w:p>
        </w:tc>
        <w:tc>
          <w:tcPr>
            <w:tcW w:w="1224" w:type="dxa"/>
            <w:shd w:val="clear" w:color="auto" w:fill="auto"/>
          </w:tcPr>
          <w:p w:rsidR="0000420A" w:rsidRDefault="00677717" w:rsidP="0000420A">
            <w:r>
              <w:t>30.2%</w:t>
            </w:r>
          </w:p>
        </w:tc>
      </w:tr>
      <w:tr w:rsidR="0000420A" w:rsidTr="00D77AAA">
        <w:tc>
          <w:tcPr>
            <w:tcW w:w="4608" w:type="dxa"/>
            <w:shd w:val="clear" w:color="auto" w:fill="auto"/>
          </w:tcPr>
          <w:p w:rsidR="0000420A" w:rsidRDefault="0000420A" w:rsidP="0000420A">
            <w:r>
              <w:t>% African American, Non-Hispanic</w:t>
            </w:r>
          </w:p>
        </w:tc>
        <w:tc>
          <w:tcPr>
            <w:tcW w:w="1296" w:type="dxa"/>
            <w:shd w:val="clear" w:color="auto" w:fill="auto"/>
          </w:tcPr>
          <w:p w:rsidR="0000420A" w:rsidRDefault="00677717" w:rsidP="0000420A">
            <w:r>
              <w:t>12.2%</w:t>
            </w:r>
          </w:p>
        </w:tc>
        <w:tc>
          <w:tcPr>
            <w:tcW w:w="1224" w:type="dxa"/>
            <w:shd w:val="clear" w:color="auto" w:fill="auto"/>
          </w:tcPr>
          <w:p w:rsidR="0000420A" w:rsidRDefault="00677717" w:rsidP="0000420A">
            <w:r>
              <w:t>11.8%</w:t>
            </w:r>
          </w:p>
        </w:tc>
      </w:tr>
      <w:tr w:rsidR="0000420A" w:rsidTr="00D77AAA">
        <w:tc>
          <w:tcPr>
            <w:tcW w:w="4608" w:type="dxa"/>
            <w:shd w:val="clear" w:color="auto" w:fill="auto"/>
          </w:tcPr>
          <w:p w:rsidR="0000420A" w:rsidRDefault="0000420A" w:rsidP="0000420A">
            <w:r>
              <w:t>% Asian</w:t>
            </w:r>
          </w:p>
        </w:tc>
        <w:tc>
          <w:tcPr>
            <w:tcW w:w="1296" w:type="dxa"/>
            <w:shd w:val="clear" w:color="auto" w:fill="auto"/>
          </w:tcPr>
          <w:p w:rsidR="0000420A" w:rsidRDefault="00FA1F5B" w:rsidP="0000420A">
            <w:r>
              <w:t>4.5%</w:t>
            </w:r>
          </w:p>
        </w:tc>
        <w:tc>
          <w:tcPr>
            <w:tcW w:w="1224" w:type="dxa"/>
            <w:shd w:val="clear" w:color="auto" w:fill="auto"/>
          </w:tcPr>
          <w:p w:rsidR="0000420A" w:rsidRDefault="00FA1F5B" w:rsidP="0000420A">
            <w:r>
              <w:t>7.6%</w:t>
            </w:r>
          </w:p>
        </w:tc>
      </w:tr>
      <w:tr w:rsidR="0000420A" w:rsidTr="00D77AAA">
        <w:tc>
          <w:tcPr>
            <w:tcW w:w="4608" w:type="dxa"/>
            <w:shd w:val="clear" w:color="auto" w:fill="auto"/>
          </w:tcPr>
          <w:p w:rsidR="0000420A" w:rsidRDefault="0000420A" w:rsidP="0000420A">
            <w:r>
              <w:t>% Native Hawaiian and Pacific Islander</w:t>
            </w:r>
          </w:p>
        </w:tc>
        <w:tc>
          <w:tcPr>
            <w:tcW w:w="1296" w:type="dxa"/>
            <w:shd w:val="clear" w:color="auto" w:fill="auto"/>
          </w:tcPr>
          <w:p w:rsidR="0000420A" w:rsidRDefault="00FA1F5B" w:rsidP="0000420A">
            <w:r>
              <w:t>0.1%</w:t>
            </w:r>
          </w:p>
        </w:tc>
        <w:tc>
          <w:tcPr>
            <w:tcW w:w="1224" w:type="dxa"/>
            <w:shd w:val="clear" w:color="auto" w:fill="auto"/>
          </w:tcPr>
          <w:p w:rsidR="0000420A" w:rsidRDefault="00FA1F5B" w:rsidP="0000420A">
            <w:r>
              <w:t>0.2%</w:t>
            </w:r>
          </w:p>
        </w:tc>
      </w:tr>
      <w:tr w:rsidR="0000420A" w:rsidTr="00D77AAA">
        <w:tc>
          <w:tcPr>
            <w:tcW w:w="4608" w:type="dxa"/>
            <w:shd w:val="clear" w:color="auto" w:fill="auto"/>
          </w:tcPr>
          <w:p w:rsidR="0000420A" w:rsidRDefault="0000420A" w:rsidP="0000420A">
            <w:r>
              <w:t>% American Indian/ Alaskan Native</w:t>
            </w:r>
          </w:p>
        </w:tc>
        <w:tc>
          <w:tcPr>
            <w:tcW w:w="1296" w:type="dxa"/>
            <w:shd w:val="clear" w:color="auto" w:fill="auto"/>
          </w:tcPr>
          <w:p w:rsidR="0000420A" w:rsidRDefault="00FA1F5B" w:rsidP="0000420A">
            <w:r>
              <w:t>1.5%</w:t>
            </w:r>
          </w:p>
        </w:tc>
        <w:tc>
          <w:tcPr>
            <w:tcW w:w="1224" w:type="dxa"/>
            <w:shd w:val="clear" w:color="auto" w:fill="auto"/>
          </w:tcPr>
          <w:p w:rsidR="0000420A" w:rsidRDefault="00FA1F5B" w:rsidP="0000420A">
            <w:r>
              <w:t>0.8%</w:t>
            </w:r>
          </w:p>
        </w:tc>
      </w:tr>
      <w:tr w:rsidR="0000420A" w:rsidTr="00D77AAA">
        <w:tc>
          <w:tcPr>
            <w:tcW w:w="4608" w:type="dxa"/>
            <w:shd w:val="clear" w:color="auto" w:fill="auto"/>
          </w:tcPr>
          <w:p w:rsidR="0000420A" w:rsidRDefault="0000420A" w:rsidP="0000420A">
            <w:r>
              <w:t>% Two or more races</w:t>
            </w:r>
          </w:p>
        </w:tc>
        <w:tc>
          <w:tcPr>
            <w:tcW w:w="1296" w:type="dxa"/>
            <w:shd w:val="clear" w:color="auto" w:fill="auto"/>
          </w:tcPr>
          <w:p w:rsidR="0000420A" w:rsidRDefault="00FA1F5B" w:rsidP="0000420A">
            <w:r>
              <w:t>1.5%</w:t>
            </w:r>
          </w:p>
        </w:tc>
        <w:tc>
          <w:tcPr>
            <w:tcW w:w="1224" w:type="dxa"/>
            <w:shd w:val="clear" w:color="auto" w:fill="auto"/>
          </w:tcPr>
          <w:p w:rsidR="0000420A" w:rsidRDefault="00FA1F5B" w:rsidP="0000420A">
            <w:r>
              <w:t>3.0%</w:t>
            </w:r>
          </w:p>
        </w:tc>
      </w:tr>
    </w:tbl>
    <w:p w:rsidR="0000420A" w:rsidRDefault="0000420A" w:rsidP="00FA1F5B">
      <w:pPr>
        <w:ind w:left="360"/>
      </w:pPr>
    </w:p>
    <w:p w:rsidR="00FA1F5B" w:rsidRDefault="00FA1F5B" w:rsidP="001B7E2A">
      <w:pPr>
        <w:numPr>
          <w:ilvl w:val="0"/>
          <w:numId w:val="1"/>
        </w:numPr>
      </w:pPr>
      <w:r>
        <w:t xml:space="preserve">Given the projected numbers for the Kaiser Family Foundation for 2050 the nursing profession will be affected with the integration of more minorities into the profession as well as the majority of the patients being minorities. I believe that this shift will have a positive outcome on the nursing profession. With more nurses being of minority backgrounds they will be able to better assist the patient culturally because </w:t>
      </w:r>
      <w:r w:rsidR="001B7E2A">
        <w:t>the nurse</w:t>
      </w:r>
      <w:r>
        <w:t xml:space="preserve"> will be able to</w:t>
      </w:r>
      <w:r w:rsidR="001B7E2A">
        <w:t xml:space="preserve"> </w:t>
      </w:r>
      <w:r>
        <w:t>relate to the patients background.</w:t>
      </w:r>
      <w:r w:rsidR="001B7E2A">
        <w:t xml:space="preserve"> This will help decrease the culture and ethnic differences in healthcare. </w:t>
      </w:r>
    </w:p>
    <w:p w:rsidR="006C2E9C" w:rsidRDefault="006C2E9C" w:rsidP="006C2E9C">
      <w:pPr>
        <w:ind w:left="360"/>
      </w:pPr>
    </w:p>
    <w:p w:rsidR="006C2E9C" w:rsidRDefault="006C2E9C" w:rsidP="006C2E9C">
      <w:pPr>
        <w:ind w:left="360"/>
      </w:pPr>
      <w:r>
        <w:t xml:space="preserve">5. After taking the survey I identify for traditional heritage versus North American and modern. When answering questions in regards to my family I realized that we all </w:t>
      </w:r>
      <w:r w:rsidR="00614C6C">
        <w:t>live near to each other, attend the same church, and have the same religious practices at home. My spouse is the same ethnic background as myself. Majority of my friends are the same ethnicity as me as well.</w:t>
      </w:r>
    </w:p>
    <w:p w:rsidR="00614C6C" w:rsidRDefault="00614C6C" w:rsidP="006C2E9C">
      <w:pPr>
        <w:ind w:left="360"/>
      </w:pPr>
    </w:p>
    <w:p w:rsidR="00614C6C" w:rsidRDefault="00614C6C" w:rsidP="006C2E9C">
      <w:pPr>
        <w:ind w:left="360"/>
      </w:pPr>
      <w:r>
        <w:t>6.</w:t>
      </w:r>
      <w:r w:rsidR="00586FD6">
        <w:t xml:space="preserve"> </w:t>
      </w:r>
      <w:r w:rsidR="00F51889">
        <w:t xml:space="preserve">  c. Avoid the invisible patient syndrome</w:t>
      </w:r>
    </w:p>
    <w:p w:rsidR="00F51889" w:rsidRDefault="00F51889" w:rsidP="006C2E9C">
      <w:pPr>
        <w:ind w:left="360"/>
      </w:pPr>
      <w:r>
        <w:tab/>
        <w:t>d. Ask for help in understanding the client’s cultural components as needed.</w:t>
      </w:r>
    </w:p>
    <w:p w:rsidR="00552D6D" w:rsidRDefault="00F51889" w:rsidP="006C2E9C">
      <w:pPr>
        <w:ind w:left="360"/>
      </w:pPr>
      <w:r>
        <w:lastRenderedPageBreak/>
        <w:t xml:space="preserve">7. </w:t>
      </w:r>
      <w:r w:rsidR="00161E31">
        <w:t xml:space="preserve"> One strategy the</w:t>
      </w:r>
      <w:r w:rsidR="00C8601B">
        <w:t xml:space="preserve"> nurse should implement for a</w:t>
      </w:r>
      <w:r w:rsidR="00161E31">
        <w:t xml:space="preserve"> cultural group</w:t>
      </w:r>
      <w:r w:rsidR="00C8601B">
        <w:t xml:space="preserve"> in regards to physical distance, remain far enough away to not intrude on the persons personal space, make eye contact but pay attention to the reaction of the patient when doing so and determine if eye contact is appropriate. </w:t>
      </w:r>
      <w:r w:rsidR="005F00A8">
        <w:t>For e</w:t>
      </w:r>
      <w:r w:rsidR="00C8601B">
        <w:t xml:space="preserve">motional expressiveness and body movements </w:t>
      </w:r>
      <w:r w:rsidR="005F00A8">
        <w:t>research the culture one is interacting with to better determine the appropriateness in these conditions.</w:t>
      </w:r>
    </w:p>
    <w:p w:rsidR="005F00A8" w:rsidRDefault="005F00A8" w:rsidP="006C2E9C">
      <w:pPr>
        <w:ind w:left="360"/>
      </w:pPr>
    </w:p>
    <w:p w:rsidR="005F00A8" w:rsidRDefault="005F00A8" w:rsidP="006C2E9C">
      <w:pPr>
        <w:ind w:left="360"/>
      </w:pPr>
      <w:r>
        <w:t xml:space="preserve">8. </w:t>
      </w:r>
      <w:r w:rsidR="004D5199">
        <w:t xml:space="preserve">After watching the video it made me realize how large the issue with language barrier in healthcare. Prior to watching the video I </w:t>
      </w:r>
      <w:r w:rsidR="00FB309C">
        <w:t>was aware that this was an issue but the video illustrated the severity of it. Individuals that cannot explain their pain or symptoms can make it almost impossible to be properly diagnosed. The movie show</w:t>
      </w:r>
      <w:r w:rsidR="001241DC">
        <w:t>ed an example of a lady that</w:t>
      </w:r>
      <w:r w:rsidR="00FB309C">
        <w:t xml:space="preserve"> had become ill, went to the doctor but they could not understand her so they insisted that she reschedule. Due to the frustration she faced she did not return to the doctor and felt it was a waste of her time since they could not understand her. </w:t>
      </w:r>
    </w:p>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43493F" w:rsidRDefault="0043493F" w:rsidP="0043493F"/>
    <w:p w:rsidR="00FA1F5B" w:rsidRDefault="00FA1F5B" w:rsidP="004F5B3F"/>
    <w:p w:rsidR="004F5B3F" w:rsidRDefault="004F5B3F" w:rsidP="004F5B3F">
      <w:pPr>
        <w:jc w:val="center"/>
      </w:pPr>
      <w:r>
        <w:lastRenderedPageBreak/>
        <w:t>References</w:t>
      </w:r>
    </w:p>
    <w:p w:rsidR="004F5B3F" w:rsidRDefault="004F5B3F" w:rsidP="004F5B3F">
      <w:pPr>
        <w:jc w:val="center"/>
      </w:pPr>
    </w:p>
    <w:p w:rsidR="004F5B3F" w:rsidRDefault="004F5B3F" w:rsidP="004F5B3F">
      <w:pPr>
        <w:jc w:val="center"/>
      </w:pPr>
    </w:p>
    <w:p w:rsidR="00D34765" w:rsidRDefault="004F5B3F" w:rsidP="004F5B3F">
      <w:pPr>
        <w:rPr>
          <w:i/>
        </w:rPr>
      </w:pPr>
      <w:proofErr w:type="gramStart"/>
      <w:r>
        <w:t>Betancourt, J.R., Green, A.R., &amp; Carrillo, J.E (2002).</w:t>
      </w:r>
      <w:proofErr w:type="gramEnd"/>
      <w:r>
        <w:t xml:space="preserve"> </w:t>
      </w:r>
      <w:r>
        <w:rPr>
          <w:i/>
        </w:rPr>
        <w:t xml:space="preserve">Cultural competence in health </w:t>
      </w:r>
    </w:p>
    <w:p w:rsidR="00D34765" w:rsidRDefault="00D34765" w:rsidP="004F5B3F">
      <w:pPr>
        <w:rPr>
          <w:i/>
        </w:rPr>
      </w:pPr>
    </w:p>
    <w:p w:rsidR="00D34765" w:rsidRDefault="004F5B3F" w:rsidP="004F5B3F">
      <w:proofErr w:type="gramStart"/>
      <w:r>
        <w:rPr>
          <w:i/>
        </w:rPr>
        <w:t>care</w:t>
      </w:r>
      <w:proofErr w:type="gramEnd"/>
      <w:r>
        <w:rPr>
          <w:i/>
        </w:rPr>
        <w:t xml:space="preserve">: Emerging frameworks and practical approaches. </w:t>
      </w:r>
      <w:r>
        <w:t xml:space="preserve">New York: The commonwealth </w:t>
      </w:r>
    </w:p>
    <w:p w:rsidR="00D34765" w:rsidRDefault="00D34765" w:rsidP="004F5B3F"/>
    <w:p w:rsidR="004F5B3F" w:rsidRDefault="004F5B3F" w:rsidP="004F5B3F">
      <w:proofErr w:type="gramStart"/>
      <w:r>
        <w:t>Fund.</w:t>
      </w:r>
      <w:proofErr w:type="gramEnd"/>
    </w:p>
    <w:p w:rsidR="004F5B3F" w:rsidRDefault="004F5B3F" w:rsidP="004F5B3F"/>
    <w:p w:rsidR="00D34765" w:rsidRDefault="004F5B3F" w:rsidP="004F5B3F">
      <w:proofErr w:type="gramStart"/>
      <w:r>
        <w:rPr>
          <w:i/>
        </w:rPr>
        <w:t>Cultural competence for health care providers.</w:t>
      </w:r>
      <w:proofErr w:type="gramEnd"/>
      <w:r>
        <w:rPr>
          <w:i/>
        </w:rPr>
        <w:t xml:space="preserve"> (2009).</w:t>
      </w:r>
      <w:r>
        <w:t xml:space="preserve"> Jefferson Center for </w:t>
      </w:r>
    </w:p>
    <w:p w:rsidR="00D34765" w:rsidRDefault="00D34765" w:rsidP="004F5B3F"/>
    <w:p w:rsidR="00D34765" w:rsidRDefault="004F5B3F" w:rsidP="004F5B3F">
      <w:r>
        <w:t xml:space="preserve">Interprofessional educational </w:t>
      </w:r>
      <w:proofErr w:type="gramStart"/>
      <w:r>
        <w:t>[ video</w:t>
      </w:r>
      <w:proofErr w:type="gramEnd"/>
      <w:r>
        <w:t xml:space="preserve">]. </w:t>
      </w:r>
      <w:proofErr w:type="gramStart"/>
      <w:r>
        <w:t>A digital media development production.</w:t>
      </w:r>
      <w:proofErr w:type="gramEnd"/>
      <w:r>
        <w:t xml:space="preserve"> </w:t>
      </w:r>
    </w:p>
    <w:p w:rsidR="00D34765" w:rsidRDefault="00D34765" w:rsidP="004F5B3F"/>
    <w:p w:rsidR="004F5B3F" w:rsidRDefault="004F5B3F" w:rsidP="004F5B3F">
      <w:r>
        <w:t xml:space="preserve">Retrieved from </w:t>
      </w:r>
      <w:hyperlink r:id="rId8" w:history="1">
        <w:r w:rsidRPr="007A0518">
          <w:rPr>
            <w:rStyle w:val="Hyperlink"/>
          </w:rPr>
          <w:t>http://www.youtube.com/watch?v=dNLtAj0wy6I</w:t>
        </w:r>
      </w:hyperlink>
    </w:p>
    <w:p w:rsidR="004F5B3F" w:rsidRDefault="004F5B3F" w:rsidP="004F5B3F"/>
    <w:p w:rsidR="00D34765" w:rsidRDefault="004F5B3F" w:rsidP="004F5B3F">
      <w:pPr>
        <w:rPr>
          <w:i/>
        </w:rPr>
      </w:pPr>
      <w:r>
        <w:t xml:space="preserve">Kaiser Family Foundation. (2010). </w:t>
      </w:r>
      <w:r>
        <w:rPr>
          <w:i/>
        </w:rPr>
        <w:t xml:space="preserve">Distribution of U.S population by race/ethnicity, 2010 </w:t>
      </w:r>
    </w:p>
    <w:p w:rsidR="00D34765" w:rsidRDefault="00D34765" w:rsidP="004F5B3F">
      <w:pPr>
        <w:rPr>
          <w:i/>
        </w:rPr>
      </w:pPr>
    </w:p>
    <w:p w:rsidR="004F5B3F" w:rsidRDefault="004F5B3F" w:rsidP="004F5B3F">
      <w:proofErr w:type="gramStart"/>
      <w:r>
        <w:rPr>
          <w:i/>
        </w:rPr>
        <w:t>and</w:t>
      </w:r>
      <w:proofErr w:type="gramEnd"/>
      <w:r>
        <w:rPr>
          <w:i/>
        </w:rPr>
        <w:t xml:space="preserve"> 2050.</w:t>
      </w:r>
      <w:r w:rsidR="009452A3">
        <w:t xml:space="preserve"> Retrieved from </w:t>
      </w:r>
      <w:hyperlink r:id="rId9" w:history="1">
        <w:r w:rsidR="009452A3" w:rsidRPr="007A0518">
          <w:rPr>
            <w:rStyle w:val="Hyperlink"/>
          </w:rPr>
          <w:t>http://facts.kff.org/chart.aspx?ch=364</w:t>
        </w:r>
      </w:hyperlink>
    </w:p>
    <w:p w:rsidR="009452A3" w:rsidRDefault="009452A3" w:rsidP="004F5B3F"/>
    <w:p w:rsidR="00D34765" w:rsidRDefault="009452A3" w:rsidP="004F5B3F">
      <w:pPr>
        <w:rPr>
          <w:i/>
        </w:rPr>
      </w:pPr>
      <w:proofErr w:type="gramStart"/>
      <w:r>
        <w:t>McBride, M. (n.d).</w:t>
      </w:r>
      <w:proofErr w:type="gramEnd"/>
      <w:r>
        <w:t xml:space="preserve"> </w:t>
      </w:r>
      <w:proofErr w:type="gramStart"/>
      <w:r>
        <w:rPr>
          <w:i/>
        </w:rPr>
        <w:t>Ethnogeriatrics and Cultural competence for nursing practice.</w:t>
      </w:r>
      <w:proofErr w:type="gramEnd"/>
      <w:r>
        <w:rPr>
          <w:i/>
        </w:rPr>
        <w:t xml:space="preserve"> </w:t>
      </w:r>
    </w:p>
    <w:p w:rsidR="00D34765" w:rsidRDefault="00D34765" w:rsidP="004F5B3F">
      <w:pPr>
        <w:rPr>
          <w:i/>
        </w:rPr>
      </w:pPr>
    </w:p>
    <w:p w:rsidR="00D34765" w:rsidRDefault="009452A3" w:rsidP="004F5B3F">
      <w:proofErr w:type="gramStart"/>
      <w:r>
        <w:t>Hartford Institute for Geriatric Nursing.</w:t>
      </w:r>
      <w:proofErr w:type="gramEnd"/>
      <w:r>
        <w:t xml:space="preserve"> Retrieved from </w:t>
      </w:r>
    </w:p>
    <w:p w:rsidR="00D34765" w:rsidRDefault="00D34765" w:rsidP="004F5B3F"/>
    <w:p w:rsidR="009452A3" w:rsidRDefault="00D34765" w:rsidP="004F5B3F">
      <w:hyperlink r:id="rId10" w:history="1">
        <w:r w:rsidRPr="007A0518">
          <w:rPr>
            <w:rStyle w:val="Hyperlink"/>
          </w:rPr>
          <w:t>http://consultgerirn.org/topics/ethnogeriatrics_and_cultural_competence_for_nursing_practice/want_to_know_more</w:t>
        </w:r>
      </w:hyperlink>
    </w:p>
    <w:p w:rsidR="00D34765" w:rsidRDefault="00D34765" w:rsidP="004F5B3F"/>
    <w:p w:rsidR="00D34765" w:rsidRDefault="00D34765" w:rsidP="004F5B3F">
      <w:pPr>
        <w:rPr>
          <w:i/>
        </w:rPr>
      </w:pPr>
      <w:r>
        <w:t xml:space="preserve">Spector, R.E. (2000). </w:t>
      </w:r>
      <w:proofErr w:type="gramStart"/>
      <w:r>
        <w:t>Heritage Assessment Tool.</w:t>
      </w:r>
      <w:proofErr w:type="gramEnd"/>
      <w:r>
        <w:t xml:space="preserve"> In R. Spector (Ed), </w:t>
      </w:r>
      <w:r>
        <w:rPr>
          <w:i/>
        </w:rPr>
        <w:t xml:space="preserve">Cultural care: </w:t>
      </w:r>
    </w:p>
    <w:p w:rsidR="00D34765" w:rsidRDefault="00D34765" w:rsidP="004F5B3F">
      <w:pPr>
        <w:rPr>
          <w:i/>
        </w:rPr>
      </w:pPr>
    </w:p>
    <w:p w:rsidR="00D34765" w:rsidRDefault="00D34765" w:rsidP="004F5B3F">
      <w:r>
        <w:rPr>
          <w:i/>
        </w:rPr>
        <w:t xml:space="preserve">Guide to heritage assessment and health traditions </w:t>
      </w:r>
      <w:r>
        <w:t>(5</w:t>
      </w:r>
      <w:r w:rsidRPr="00D34765">
        <w:rPr>
          <w:vertAlign w:val="superscript"/>
        </w:rPr>
        <w:t>th</w:t>
      </w:r>
      <w:r>
        <w:t xml:space="preserve"> </w:t>
      </w:r>
      <w:proofErr w:type="gramStart"/>
      <w:r>
        <w:t>ed</w:t>
      </w:r>
      <w:proofErr w:type="gramEnd"/>
      <w:r>
        <w:t xml:space="preserve">.). Upper Saddle, NJ: Pearson </w:t>
      </w:r>
    </w:p>
    <w:p w:rsidR="00D34765" w:rsidRDefault="00D34765" w:rsidP="004F5B3F"/>
    <w:p w:rsidR="00D34765" w:rsidRPr="00D34765" w:rsidRDefault="00D34765" w:rsidP="004F5B3F">
      <w:r>
        <w:t>Education/PH College</w:t>
      </w:r>
    </w:p>
    <w:p w:rsidR="004F5B3F" w:rsidRDefault="004F5B3F" w:rsidP="004F5B3F">
      <w:pPr>
        <w:jc w:val="center"/>
      </w:pPr>
    </w:p>
    <w:p w:rsidR="004F5B3F" w:rsidRPr="00FA1F5B" w:rsidRDefault="004F5B3F" w:rsidP="004F5B3F">
      <w:pPr>
        <w:jc w:val="center"/>
      </w:pPr>
    </w:p>
    <w:sectPr w:rsidR="004F5B3F" w:rsidRPr="00FA1F5B" w:rsidSect="00D34765">
      <w:head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F7" w:rsidRDefault="004A52F7" w:rsidP="00D34765">
      <w:r>
        <w:separator/>
      </w:r>
    </w:p>
  </w:endnote>
  <w:endnote w:type="continuationSeparator" w:id="0">
    <w:p w:rsidR="004A52F7" w:rsidRDefault="004A52F7" w:rsidP="00D3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F7" w:rsidRDefault="004A52F7" w:rsidP="00D34765">
      <w:r>
        <w:separator/>
      </w:r>
    </w:p>
  </w:footnote>
  <w:footnote w:type="continuationSeparator" w:id="0">
    <w:p w:rsidR="004A52F7" w:rsidRDefault="004A52F7" w:rsidP="00D3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65" w:rsidRDefault="00D34765">
    <w:pPr>
      <w:pStyle w:val="Header"/>
    </w:pPr>
    <w:r>
      <w:t>Running head: CULTURALLY SPECEFIC CARE</w:t>
    </w:r>
    <w:r>
      <w:tab/>
    </w:r>
    <w:r>
      <w:tab/>
    </w:r>
    <w:r>
      <w:fldChar w:fldCharType="begin"/>
    </w:r>
    <w:r>
      <w:instrText xml:space="preserve"> PAGE   \* MERGEFORMAT </w:instrText>
    </w:r>
    <w:r>
      <w:fldChar w:fldCharType="separate"/>
    </w:r>
    <w:r w:rsidR="00011D07">
      <w:rPr>
        <w:noProof/>
      </w:rPr>
      <w:t>4</w:t>
    </w:r>
    <w:r>
      <w:rPr>
        <w:noProof/>
      </w:rPr>
      <w:fldChar w:fldCharType="end"/>
    </w:r>
  </w:p>
  <w:p w:rsidR="00D34765" w:rsidRDefault="00D347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65" w:rsidRDefault="00D34765">
    <w:pPr>
      <w:pStyle w:val="Header"/>
    </w:pPr>
    <w:r>
      <w:t>Running head: CULTURALLY SPECIFIC CARE</w:t>
    </w:r>
    <w:r>
      <w:tab/>
    </w:r>
    <w:r>
      <w:fldChar w:fldCharType="begin"/>
    </w:r>
    <w:r>
      <w:instrText xml:space="preserve"> PAGE   \* MERGEFORMAT </w:instrText>
    </w:r>
    <w:r>
      <w:fldChar w:fldCharType="separate"/>
    </w:r>
    <w:r w:rsidR="00011D07">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33F4"/>
    <w:multiLevelType w:val="hybridMultilevel"/>
    <w:tmpl w:val="1F7A1670"/>
    <w:lvl w:ilvl="0" w:tplc="0409000F">
      <w:start w:val="1"/>
      <w:numFmt w:val="decimal"/>
      <w:lvlText w:val="%1."/>
      <w:lvlJc w:val="left"/>
      <w:pPr>
        <w:tabs>
          <w:tab w:val="num" w:pos="720"/>
        </w:tabs>
        <w:ind w:left="720" w:hanging="360"/>
      </w:pPr>
      <w:rPr>
        <w:rFonts w:hint="default"/>
      </w:rPr>
    </w:lvl>
    <w:lvl w:ilvl="1" w:tplc="401A9A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3F"/>
    <w:rsid w:val="0000420A"/>
    <w:rsid w:val="00011D07"/>
    <w:rsid w:val="001241DC"/>
    <w:rsid w:val="00161E31"/>
    <w:rsid w:val="001B7E2A"/>
    <w:rsid w:val="0043493F"/>
    <w:rsid w:val="004A52F7"/>
    <w:rsid w:val="004D5199"/>
    <w:rsid w:val="004F5B3F"/>
    <w:rsid w:val="00552D6D"/>
    <w:rsid w:val="00586FD6"/>
    <w:rsid w:val="005F00A8"/>
    <w:rsid w:val="00614C6C"/>
    <w:rsid w:val="00677717"/>
    <w:rsid w:val="006C2E9C"/>
    <w:rsid w:val="00796540"/>
    <w:rsid w:val="009452A3"/>
    <w:rsid w:val="009A65B0"/>
    <w:rsid w:val="00AD7278"/>
    <w:rsid w:val="00C10B77"/>
    <w:rsid w:val="00C8601B"/>
    <w:rsid w:val="00D34765"/>
    <w:rsid w:val="00D77AAA"/>
    <w:rsid w:val="00EB1B17"/>
    <w:rsid w:val="00F51889"/>
    <w:rsid w:val="00F71A13"/>
    <w:rsid w:val="00FA1F5B"/>
    <w:rsid w:val="00FB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04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77717"/>
    <w:rPr>
      <w:color w:val="0000FF"/>
      <w:u w:val="single"/>
    </w:rPr>
  </w:style>
  <w:style w:type="paragraph" w:styleId="Header">
    <w:name w:val="header"/>
    <w:basedOn w:val="Normal"/>
    <w:link w:val="HeaderChar"/>
    <w:uiPriority w:val="99"/>
    <w:rsid w:val="00D34765"/>
    <w:pPr>
      <w:tabs>
        <w:tab w:val="center" w:pos="4680"/>
        <w:tab w:val="right" w:pos="9360"/>
      </w:tabs>
    </w:pPr>
  </w:style>
  <w:style w:type="character" w:customStyle="1" w:styleId="HeaderChar">
    <w:name w:val="Header Char"/>
    <w:link w:val="Header"/>
    <w:uiPriority w:val="99"/>
    <w:rsid w:val="00D34765"/>
    <w:rPr>
      <w:sz w:val="24"/>
      <w:szCs w:val="24"/>
    </w:rPr>
  </w:style>
  <w:style w:type="paragraph" w:styleId="Footer">
    <w:name w:val="footer"/>
    <w:basedOn w:val="Normal"/>
    <w:link w:val="FooterChar"/>
    <w:rsid w:val="00D34765"/>
    <w:pPr>
      <w:tabs>
        <w:tab w:val="center" w:pos="4680"/>
        <w:tab w:val="right" w:pos="9360"/>
      </w:tabs>
    </w:pPr>
  </w:style>
  <w:style w:type="character" w:customStyle="1" w:styleId="FooterChar">
    <w:name w:val="Footer Char"/>
    <w:link w:val="Footer"/>
    <w:rsid w:val="00D34765"/>
    <w:rPr>
      <w:sz w:val="24"/>
      <w:szCs w:val="24"/>
    </w:rPr>
  </w:style>
  <w:style w:type="paragraph" w:styleId="BalloonText">
    <w:name w:val="Balloon Text"/>
    <w:basedOn w:val="Normal"/>
    <w:link w:val="BalloonTextChar"/>
    <w:rsid w:val="00D34765"/>
    <w:rPr>
      <w:rFonts w:ascii="Tahoma" w:hAnsi="Tahoma" w:cs="Tahoma"/>
      <w:sz w:val="16"/>
      <w:szCs w:val="16"/>
    </w:rPr>
  </w:style>
  <w:style w:type="character" w:customStyle="1" w:styleId="BalloonTextChar">
    <w:name w:val="Balloon Text Char"/>
    <w:link w:val="BalloonText"/>
    <w:rsid w:val="00D34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04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77717"/>
    <w:rPr>
      <w:color w:val="0000FF"/>
      <w:u w:val="single"/>
    </w:rPr>
  </w:style>
  <w:style w:type="paragraph" w:styleId="Header">
    <w:name w:val="header"/>
    <w:basedOn w:val="Normal"/>
    <w:link w:val="HeaderChar"/>
    <w:uiPriority w:val="99"/>
    <w:rsid w:val="00D34765"/>
    <w:pPr>
      <w:tabs>
        <w:tab w:val="center" w:pos="4680"/>
        <w:tab w:val="right" w:pos="9360"/>
      </w:tabs>
    </w:pPr>
  </w:style>
  <w:style w:type="character" w:customStyle="1" w:styleId="HeaderChar">
    <w:name w:val="Header Char"/>
    <w:link w:val="Header"/>
    <w:uiPriority w:val="99"/>
    <w:rsid w:val="00D34765"/>
    <w:rPr>
      <w:sz w:val="24"/>
      <w:szCs w:val="24"/>
    </w:rPr>
  </w:style>
  <w:style w:type="paragraph" w:styleId="Footer">
    <w:name w:val="footer"/>
    <w:basedOn w:val="Normal"/>
    <w:link w:val="FooterChar"/>
    <w:rsid w:val="00D34765"/>
    <w:pPr>
      <w:tabs>
        <w:tab w:val="center" w:pos="4680"/>
        <w:tab w:val="right" w:pos="9360"/>
      </w:tabs>
    </w:pPr>
  </w:style>
  <w:style w:type="character" w:customStyle="1" w:styleId="FooterChar">
    <w:name w:val="Footer Char"/>
    <w:link w:val="Footer"/>
    <w:rsid w:val="00D34765"/>
    <w:rPr>
      <w:sz w:val="24"/>
      <w:szCs w:val="24"/>
    </w:rPr>
  </w:style>
  <w:style w:type="paragraph" w:styleId="BalloonText">
    <w:name w:val="Balloon Text"/>
    <w:basedOn w:val="Normal"/>
    <w:link w:val="BalloonTextChar"/>
    <w:rsid w:val="00D34765"/>
    <w:rPr>
      <w:rFonts w:ascii="Tahoma" w:hAnsi="Tahoma" w:cs="Tahoma"/>
      <w:sz w:val="16"/>
      <w:szCs w:val="16"/>
    </w:rPr>
  </w:style>
  <w:style w:type="character" w:customStyle="1" w:styleId="BalloonTextChar">
    <w:name w:val="Balloon Text Char"/>
    <w:link w:val="BalloonText"/>
    <w:rsid w:val="00D34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NLtAj0wy6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nsultgerirn.org/topics/ethnogeriatrics_and_cultural_competence_for_nursing_practice/want_to_know_more" TargetMode="External"/><Relationship Id="rId4" Type="http://schemas.openxmlformats.org/officeDocument/2006/relationships/settings" Target="settings.xml"/><Relationship Id="rId9" Type="http://schemas.openxmlformats.org/officeDocument/2006/relationships/hyperlink" Target="http://facts.kff.org/chart.aspx?ch=3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Provena Health</Company>
  <LinksUpToDate>false</LinksUpToDate>
  <CharactersWithSpaces>4832</CharactersWithSpaces>
  <SharedDoc>false</SharedDoc>
  <HLinks>
    <vt:vector size="18" baseType="variant">
      <vt:variant>
        <vt:i4>5963822</vt:i4>
      </vt:variant>
      <vt:variant>
        <vt:i4>6</vt:i4>
      </vt:variant>
      <vt:variant>
        <vt:i4>0</vt:i4>
      </vt:variant>
      <vt:variant>
        <vt:i4>5</vt:i4>
      </vt:variant>
      <vt:variant>
        <vt:lpwstr>http://consultgerirn.org/topics/ethnogeriatrics_and_cultural_competence_for_nursing_practice/want_to_know_more</vt:lpwstr>
      </vt:variant>
      <vt:variant>
        <vt:lpwstr/>
      </vt:variant>
      <vt:variant>
        <vt:i4>7274608</vt:i4>
      </vt:variant>
      <vt:variant>
        <vt:i4>3</vt:i4>
      </vt:variant>
      <vt:variant>
        <vt:i4>0</vt:i4>
      </vt:variant>
      <vt:variant>
        <vt:i4>5</vt:i4>
      </vt:variant>
      <vt:variant>
        <vt:lpwstr>http://facts.kff.org/chart.aspx?ch=364</vt:lpwstr>
      </vt:variant>
      <vt:variant>
        <vt:lpwstr/>
      </vt:variant>
      <vt:variant>
        <vt:i4>7143542</vt:i4>
      </vt:variant>
      <vt:variant>
        <vt:i4>0</vt:i4>
      </vt:variant>
      <vt:variant>
        <vt:i4>0</vt:i4>
      </vt:variant>
      <vt:variant>
        <vt:i4>5</vt:i4>
      </vt:variant>
      <vt:variant>
        <vt:lpwstr>http://www.youtube.com/watch?v=dNLtAj0wy6I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Provena Health</dc:creator>
  <cp:lastModifiedBy>Brittany</cp:lastModifiedBy>
  <cp:revision>2</cp:revision>
  <dcterms:created xsi:type="dcterms:W3CDTF">2012-12-12T20:21:00Z</dcterms:created>
  <dcterms:modified xsi:type="dcterms:W3CDTF">2012-12-12T20:21:00Z</dcterms:modified>
</cp:coreProperties>
</file>