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1C" w:rsidRDefault="00D3281C" w:rsidP="009A63B2">
      <w:pPr>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r>
        <w:rPr>
          <w:rFonts w:ascii="Arial" w:hAnsi="Arial"/>
        </w:rPr>
        <w:t>Case Study 7-1 Response</w:t>
      </w:r>
    </w:p>
    <w:p w:rsidR="00D3281C" w:rsidRDefault="00D3281C" w:rsidP="00E923D8">
      <w:pPr>
        <w:spacing w:line="480" w:lineRule="auto"/>
        <w:jc w:val="center"/>
        <w:rPr>
          <w:rFonts w:ascii="Arial" w:hAnsi="Arial"/>
        </w:rPr>
      </w:pPr>
      <w:r>
        <w:rPr>
          <w:rFonts w:ascii="Arial" w:hAnsi="Arial"/>
        </w:rPr>
        <w:t>Ashley Black</w:t>
      </w:r>
    </w:p>
    <w:p w:rsidR="00D3281C" w:rsidRDefault="00D3281C" w:rsidP="00E923D8">
      <w:pPr>
        <w:spacing w:line="480" w:lineRule="auto"/>
        <w:jc w:val="center"/>
        <w:rPr>
          <w:rFonts w:ascii="Arial" w:hAnsi="Arial"/>
        </w:rPr>
      </w:pPr>
      <w:r>
        <w:rPr>
          <w:rFonts w:ascii="Arial" w:hAnsi="Arial"/>
        </w:rPr>
        <w:t>Lakeview College of Nursing</w:t>
      </w:r>
    </w:p>
    <w:p w:rsidR="00D3281C" w:rsidRPr="00CB506A" w:rsidRDefault="00D3281C" w:rsidP="00E923D8">
      <w:pPr>
        <w:spacing w:line="480" w:lineRule="auto"/>
        <w:jc w:val="center"/>
        <w:rPr>
          <w:rFonts w:ascii="Arial" w:hAnsi="Arial"/>
          <w:lang w:val="pt-BR"/>
        </w:rPr>
      </w:pPr>
      <w:r w:rsidRPr="00CB506A">
        <w:rPr>
          <w:rFonts w:ascii="Arial" w:hAnsi="Arial"/>
          <w:lang w:val="pt-BR"/>
        </w:rPr>
        <w:t>N309: Gerontological Nursing</w:t>
      </w:r>
    </w:p>
    <w:p w:rsidR="00D3281C" w:rsidRPr="00CB506A" w:rsidRDefault="00D3281C" w:rsidP="00E923D8">
      <w:pPr>
        <w:spacing w:line="480" w:lineRule="auto"/>
        <w:jc w:val="center"/>
        <w:rPr>
          <w:rFonts w:ascii="Arial" w:hAnsi="Arial"/>
          <w:lang w:val="pt-BR"/>
        </w:rPr>
      </w:pPr>
      <w:r w:rsidRPr="00CB506A">
        <w:rPr>
          <w:rFonts w:ascii="Arial" w:hAnsi="Arial"/>
          <w:lang w:val="pt-BR"/>
        </w:rPr>
        <w:t>6/3/2011</w:t>
      </w:r>
    </w:p>
    <w:p w:rsidR="00D3281C" w:rsidRPr="00CB506A" w:rsidRDefault="00D3281C" w:rsidP="00E923D8">
      <w:pPr>
        <w:spacing w:line="480" w:lineRule="auto"/>
        <w:rPr>
          <w:rFonts w:ascii="Arial" w:hAnsi="Arial"/>
          <w:lang w:val="pt-BR"/>
        </w:rPr>
      </w:pPr>
      <w:r w:rsidRPr="00CB506A">
        <w:rPr>
          <w:rFonts w:ascii="Arial" w:hAnsi="Arial"/>
          <w:lang w:val="pt-BR"/>
        </w:rPr>
        <w:br w:type="page"/>
      </w:r>
    </w:p>
    <w:p w:rsidR="00D3281C" w:rsidRDefault="00D3281C" w:rsidP="00E923D8">
      <w:pPr>
        <w:spacing w:line="480" w:lineRule="auto"/>
        <w:ind w:firstLine="720"/>
        <w:jc w:val="center"/>
        <w:rPr>
          <w:rFonts w:ascii="Arial" w:hAnsi="Arial"/>
        </w:rPr>
      </w:pPr>
      <w:r>
        <w:rPr>
          <w:rFonts w:ascii="Arial" w:hAnsi="Arial"/>
        </w:rPr>
        <w:t>Measurements for both Husband and Wife</w:t>
      </w:r>
    </w:p>
    <w:p w:rsidR="00D3281C" w:rsidRDefault="00D3281C" w:rsidP="00E923D8">
      <w:pPr>
        <w:spacing w:line="480" w:lineRule="auto"/>
        <w:ind w:firstLine="720"/>
        <w:rPr>
          <w:rFonts w:ascii="Arial" w:hAnsi="Arial"/>
        </w:rPr>
      </w:pPr>
      <w:r>
        <w:rPr>
          <w:rFonts w:ascii="Arial" w:hAnsi="Arial"/>
        </w:rPr>
        <w:t xml:space="preserve">Mr. Boyd and Mrs. Boyd should be both evaluated for any issues concerning activities of daily living (ADLs). ADLs are basic measures one needs to perform in order to survive. Some tools used to estimate ADLs include the Katz Index of ADL, </w:t>
      </w:r>
      <w:proofErr w:type="spellStart"/>
      <w:r>
        <w:rPr>
          <w:rFonts w:ascii="Arial" w:hAnsi="Arial"/>
        </w:rPr>
        <w:t>Barthel</w:t>
      </w:r>
      <w:proofErr w:type="spellEnd"/>
      <w:r>
        <w:rPr>
          <w:rFonts w:ascii="Arial" w:hAnsi="Arial"/>
        </w:rPr>
        <w:t xml:space="preserve"> Index and The Refined ADL Assessment Scale. Mrs. Boyd does not have any complaints of problems with ADLs. Nonetheless, this area still needs to be assessed because the older adult may overestimate his or her physical abilities. Her report of her husband does show some concerns regarding ADLs and thus, this area should be reviewed with him first. This is shown by his recent communication and eating issues (</w:t>
      </w:r>
      <w:proofErr w:type="spellStart"/>
      <w:r>
        <w:rPr>
          <w:rFonts w:ascii="Arial" w:hAnsi="Arial"/>
        </w:rPr>
        <w:t>Guse</w:t>
      </w:r>
      <w:proofErr w:type="spellEnd"/>
      <w:r>
        <w:rPr>
          <w:rFonts w:ascii="Arial" w:hAnsi="Arial"/>
        </w:rPr>
        <w:t>, 2010, p. 233-235).</w:t>
      </w:r>
    </w:p>
    <w:p w:rsidR="00D3281C" w:rsidRDefault="00D3281C" w:rsidP="00E923D8">
      <w:pPr>
        <w:spacing w:line="480" w:lineRule="auto"/>
        <w:ind w:firstLine="720"/>
        <w:rPr>
          <w:rFonts w:ascii="Arial" w:hAnsi="Arial"/>
        </w:rPr>
      </w:pPr>
      <w:r>
        <w:rPr>
          <w:rFonts w:ascii="Arial" w:hAnsi="Arial"/>
        </w:rPr>
        <w:t xml:space="preserve">Initially, </w:t>
      </w:r>
      <w:r w:rsidRPr="00CB506A">
        <w:rPr>
          <w:rFonts w:ascii="Arial" w:hAnsi="Arial"/>
        </w:rPr>
        <w:t xml:space="preserve">Mrs. Boyd needs to </w:t>
      </w:r>
      <w:r>
        <w:rPr>
          <w:rFonts w:ascii="Arial" w:hAnsi="Arial"/>
        </w:rPr>
        <w:t xml:space="preserve">be assessed for a deficit in instrumental activities of daily living (IADLs). </w:t>
      </w:r>
      <w:proofErr w:type="gramStart"/>
      <w:r>
        <w:rPr>
          <w:rFonts w:ascii="Arial" w:hAnsi="Arial"/>
        </w:rPr>
        <w:t xml:space="preserve">According to </w:t>
      </w:r>
      <w:proofErr w:type="spellStart"/>
      <w:r>
        <w:rPr>
          <w:rFonts w:ascii="Arial" w:hAnsi="Arial"/>
        </w:rPr>
        <w:t>Guse</w:t>
      </w:r>
      <w:proofErr w:type="spellEnd"/>
      <w:r>
        <w:rPr>
          <w:rFonts w:ascii="Arial" w:hAnsi="Arial"/>
        </w:rPr>
        <w:t xml:space="preserve"> (2010), IADLs “address the older adult’s ability to interact with his or her environment and community” (p. 236).</w:t>
      </w:r>
      <w:proofErr w:type="gramEnd"/>
      <w:r>
        <w:rPr>
          <w:rFonts w:ascii="Arial" w:hAnsi="Arial"/>
        </w:rPr>
        <w:t xml:space="preserve"> These tasks include preparing meals, housekeeping and handling finances. The Lawton Instrumental Activities of Daily Living Scale is a tool that helps assess independence in the community. According to her, this is the area that she has recently to taken responsibility. Her husband has also observed to have a decline in this area so it is also important that his status be reviewed (</w:t>
      </w:r>
      <w:proofErr w:type="spellStart"/>
      <w:r>
        <w:rPr>
          <w:rFonts w:ascii="Arial" w:hAnsi="Arial"/>
        </w:rPr>
        <w:t>Guse</w:t>
      </w:r>
      <w:proofErr w:type="spellEnd"/>
      <w:r>
        <w:rPr>
          <w:rFonts w:ascii="Arial" w:hAnsi="Arial"/>
        </w:rPr>
        <w:t>, 2010, p. 236-237).</w:t>
      </w:r>
    </w:p>
    <w:p w:rsidR="00D3281C" w:rsidRDefault="00D3281C" w:rsidP="00E923D8">
      <w:pPr>
        <w:spacing w:line="480" w:lineRule="auto"/>
        <w:rPr>
          <w:rFonts w:ascii="Arial" w:hAnsi="Arial"/>
        </w:rPr>
      </w:pPr>
      <w:r>
        <w:rPr>
          <w:rFonts w:ascii="Arial" w:hAnsi="Arial"/>
        </w:rPr>
        <w:tab/>
        <w:t>Due to the recent alterations this couple experienced, a psychological evaluation is needed. This checks the individual for any mental health occurrences. A common mental health dilemma in the older adult population is clinical depression. This can develop from side effects of medication, illness or changes due to chronological changes in the body. Mr. Boyd has been observed to have some symptoms of depression. These include lack of satisfaction from activities that were enjoyed in the past, disturbances in sleep and the impaired capacity concentrate (</w:t>
      </w:r>
      <w:proofErr w:type="spellStart"/>
      <w:r>
        <w:rPr>
          <w:rFonts w:ascii="Arial" w:hAnsi="Arial"/>
        </w:rPr>
        <w:t>Guse</w:t>
      </w:r>
      <w:proofErr w:type="spellEnd"/>
      <w:r>
        <w:rPr>
          <w:rFonts w:ascii="Arial" w:hAnsi="Arial"/>
        </w:rPr>
        <w:t xml:space="preserve">, 2010, 247-249).  </w:t>
      </w:r>
    </w:p>
    <w:p w:rsidR="00D3281C" w:rsidRDefault="00D3281C" w:rsidP="009F3C87">
      <w:pPr>
        <w:spacing w:line="480" w:lineRule="auto"/>
        <w:ind w:firstLine="720"/>
        <w:rPr>
          <w:rFonts w:ascii="Arial" w:hAnsi="Arial"/>
        </w:rPr>
      </w:pPr>
      <w:r>
        <w:rPr>
          <w:rFonts w:ascii="Arial" w:hAnsi="Arial"/>
        </w:rPr>
        <w:lastRenderedPageBreak/>
        <w:t>Both should also have a complete physical assessment performed. This is done by taking a verbal history and then completing a physical examination. The examination portion reviews each body system. Health care members such as a physician, social worker and psychologist need to be a part of the physical examination. This assessment ought to show any physical or mental conditions that may interfere with daily life (</w:t>
      </w:r>
      <w:proofErr w:type="spellStart"/>
      <w:r>
        <w:rPr>
          <w:rFonts w:ascii="Arial" w:hAnsi="Arial"/>
        </w:rPr>
        <w:t>Guse</w:t>
      </w:r>
      <w:proofErr w:type="spellEnd"/>
      <w:r>
        <w:rPr>
          <w:rFonts w:ascii="Arial" w:hAnsi="Arial"/>
        </w:rPr>
        <w:t>, 2010, p. 237-238).</w:t>
      </w:r>
    </w:p>
    <w:p w:rsidR="00D3281C" w:rsidRDefault="00D3281C" w:rsidP="00E923D8">
      <w:pPr>
        <w:spacing w:line="480" w:lineRule="auto"/>
        <w:rPr>
          <w:rFonts w:ascii="Arial" w:hAnsi="Arial"/>
        </w:rPr>
      </w:pPr>
      <w:r>
        <w:rPr>
          <w:rFonts w:ascii="Arial" w:hAnsi="Arial"/>
        </w:rPr>
        <w:tab/>
        <w:t xml:space="preserve">The social and spiritual examination should be completed last. Mr. Boyd has not been socially engaging while his wife has maintained her church meetings. Additionally, a support group needs to be evaluated with this couple. The </w:t>
      </w:r>
      <w:proofErr w:type="spellStart"/>
      <w:r>
        <w:rPr>
          <w:rFonts w:ascii="Arial" w:hAnsi="Arial"/>
        </w:rPr>
        <w:t>Lubben</w:t>
      </w:r>
      <w:proofErr w:type="spellEnd"/>
      <w:r>
        <w:rPr>
          <w:rFonts w:ascii="Arial" w:hAnsi="Arial"/>
        </w:rPr>
        <w:t xml:space="preserve"> Social Network Scale can help identify areas of weakness. </w:t>
      </w:r>
      <w:proofErr w:type="spellStart"/>
      <w:r>
        <w:rPr>
          <w:rFonts w:ascii="Arial" w:hAnsi="Arial"/>
        </w:rPr>
        <w:t>Guse</w:t>
      </w:r>
      <w:proofErr w:type="spellEnd"/>
      <w:r>
        <w:rPr>
          <w:rFonts w:ascii="Arial" w:hAnsi="Arial"/>
        </w:rPr>
        <w:t xml:space="preserve"> (2010), reported that “Decades of research have told us that individuals with low quantity and quality of social relationships have a higher morbidity and mortality risk compared with those who have a good quantity and quality of social contacts” (p. 251). </w:t>
      </w:r>
    </w:p>
    <w:p w:rsidR="00D3281C" w:rsidRDefault="00D3281C" w:rsidP="00E923D8">
      <w:pPr>
        <w:spacing w:line="480" w:lineRule="auto"/>
        <w:rPr>
          <w:rFonts w:ascii="Arial" w:hAnsi="Arial"/>
        </w:rPr>
      </w:pPr>
      <w:r>
        <w:rPr>
          <w:rFonts w:ascii="Arial" w:hAnsi="Arial"/>
        </w:rPr>
        <w:tab/>
        <w:t>The spiritual assessment is warranted, especially because Mrs. Boyd attends a church group. Both her and her husband’s feelings concerning spirituality are a part of the comprehensive evaluation and supply a foundation for individualized plan of care (</w:t>
      </w:r>
      <w:proofErr w:type="spellStart"/>
      <w:r>
        <w:rPr>
          <w:rFonts w:ascii="Arial" w:hAnsi="Arial"/>
        </w:rPr>
        <w:t>Guse</w:t>
      </w:r>
      <w:proofErr w:type="spellEnd"/>
      <w:r>
        <w:rPr>
          <w:rFonts w:ascii="Arial" w:hAnsi="Arial"/>
        </w:rPr>
        <w:t xml:space="preserve">, 2010, p. 252). </w:t>
      </w:r>
    </w:p>
    <w:p w:rsidR="00D3281C" w:rsidRDefault="00D3281C" w:rsidP="00E923D8">
      <w:pPr>
        <w:spacing w:line="480" w:lineRule="auto"/>
        <w:ind w:firstLine="720"/>
        <w:rPr>
          <w:rFonts w:ascii="Arial" w:hAnsi="Arial"/>
        </w:rPr>
      </w:pPr>
    </w:p>
    <w:p w:rsidR="00D3281C" w:rsidRDefault="00D3281C" w:rsidP="00E923D8">
      <w:pPr>
        <w:spacing w:line="480" w:lineRule="auto"/>
        <w:ind w:firstLine="720"/>
        <w:jc w:val="center"/>
        <w:rPr>
          <w:rFonts w:ascii="Arial" w:hAnsi="Arial"/>
        </w:rPr>
      </w:pPr>
      <w:r>
        <w:rPr>
          <w:rFonts w:ascii="Arial" w:hAnsi="Arial"/>
        </w:rPr>
        <w:t>Mr. Boyd’s Specific Evaluation</w:t>
      </w:r>
    </w:p>
    <w:p w:rsidR="00D3281C" w:rsidRDefault="00D3281C" w:rsidP="00E923D8">
      <w:pPr>
        <w:spacing w:line="480" w:lineRule="auto"/>
        <w:ind w:firstLine="720"/>
        <w:rPr>
          <w:rFonts w:ascii="Arial" w:hAnsi="Arial"/>
        </w:rPr>
      </w:pPr>
      <w:r>
        <w:rPr>
          <w:rFonts w:ascii="Arial" w:hAnsi="Arial"/>
        </w:rPr>
        <w:t>Contrary to his wife’s assessment, Mr. Boyd should originally have a cognitive evaluation. An example is a Mini Mental State Examination which tests cognitive function in an older adult, or any adult for that matter. Mrs. Boyd’s explanation of her husband’s recent decline shows evidence of cognitive impairment. This is evidenced by her report that he has recent difficulty communicating, forgetfulness, and that he no longer performs outside tasks. She first saw a change about 6 months previously (</w:t>
      </w:r>
      <w:proofErr w:type="spellStart"/>
      <w:r>
        <w:rPr>
          <w:rFonts w:ascii="Arial" w:hAnsi="Arial"/>
        </w:rPr>
        <w:t>Guse</w:t>
      </w:r>
      <w:proofErr w:type="spellEnd"/>
      <w:r>
        <w:rPr>
          <w:rFonts w:ascii="Arial" w:hAnsi="Arial"/>
        </w:rPr>
        <w:t>, 2010, p. 246).</w:t>
      </w:r>
    </w:p>
    <w:p w:rsidR="00D3281C" w:rsidRDefault="00D3281C" w:rsidP="00E923D8">
      <w:pPr>
        <w:spacing w:line="480" w:lineRule="auto"/>
        <w:ind w:firstLine="720"/>
        <w:jc w:val="center"/>
        <w:rPr>
          <w:rFonts w:ascii="Arial" w:hAnsi="Arial"/>
        </w:rPr>
      </w:pPr>
      <w:r>
        <w:rPr>
          <w:rFonts w:ascii="Arial" w:hAnsi="Arial"/>
        </w:rPr>
        <w:lastRenderedPageBreak/>
        <w:t>Testing</w:t>
      </w:r>
    </w:p>
    <w:p w:rsidR="00D3281C" w:rsidRDefault="00D3281C" w:rsidP="00E923D8">
      <w:pPr>
        <w:spacing w:line="480" w:lineRule="auto"/>
        <w:ind w:firstLine="720"/>
        <w:rPr>
          <w:rFonts w:ascii="Arial" w:hAnsi="Arial"/>
        </w:rPr>
      </w:pPr>
      <w:r>
        <w:rPr>
          <w:rFonts w:ascii="Arial" w:hAnsi="Arial"/>
        </w:rPr>
        <w:t xml:space="preserve">Performance measures, self-report, and proxy report should all be used to assess this couple’s independence level. If Mr. Boyd cannot communicate effectively, observation ought to be used in conjunction with the others types of evaluation means. Mrs. Boyd can have an equal amount of all three, to compare each category for accuracy. </w:t>
      </w:r>
    </w:p>
    <w:p w:rsidR="00D3281C" w:rsidRDefault="00D3281C" w:rsidP="00E923D8">
      <w:pPr>
        <w:spacing w:line="480" w:lineRule="auto"/>
        <w:ind w:firstLine="720"/>
        <w:rPr>
          <w:rFonts w:ascii="Arial" w:hAnsi="Arial"/>
        </w:rPr>
      </w:pPr>
      <w:r>
        <w:rPr>
          <w:rFonts w:ascii="Arial" w:hAnsi="Arial"/>
        </w:rPr>
        <w:t xml:space="preserve">Mrs. Boyd’s perceived domination of the interview can affect the outcome. She wants to talk for her husband which does not give a realistic view of his status. It would be difficult to assess his thoughts and feelings if she was the only one being interviewed. Also, her opinion of their independence level may differ from the actual status. </w:t>
      </w:r>
    </w:p>
    <w:p w:rsidR="00D3281C" w:rsidRDefault="00D3281C" w:rsidP="00E923D8">
      <w:pPr>
        <w:spacing w:line="480" w:lineRule="auto"/>
        <w:ind w:firstLine="720"/>
        <w:rPr>
          <w:rFonts w:ascii="Arial" w:hAnsi="Arial"/>
        </w:rPr>
      </w:pPr>
      <w:r>
        <w:rPr>
          <w:rFonts w:ascii="Arial" w:hAnsi="Arial"/>
        </w:rPr>
        <w:t xml:space="preserve">Besides the health care workers referred to in the ‘physical assessment’ portion, other professionals need to be consulted. A nutritionist or dietician can assist Mr. Boyd with his nutrition status. It would also be a good idea to refer the couple to a home health agency. A home health aide can support the couple with any deficits they have in the home. </w:t>
      </w:r>
    </w:p>
    <w:p w:rsidR="00D3281C" w:rsidRDefault="00D3281C">
      <w:pPr>
        <w:rPr>
          <w:rFonts w:ascii="Arial" w:hAnsi="Arial"/>
        </w:rPr>
      </w:pPr>
      <w:r>
        <w:rPr>
          <w:rFonts w:ascii="Arial" w:hAnsi="Arial"/>
        </w:rPr>
        <w:br w:type="page"/>
      </w:r>
    </w:p>
    <w:p w:rsidR="00D3281C" w:rsidRDefault="00D3281C" w:rsidP="009F3C87">
      <w:pPr>
        <w:spacing w:line="480" w:lineRule="auto"/>
        <w:ind w:firstLine="720"/>
        <w:jc w:val="center"/>
        <w:rPr>
          <w:rFonts w:ascii="Arial" w:hAnsi="Arial"/>
        </w:rPr>
      </w:pPr>
      <w:r>
        <w:rPr>
          <w:rFonts w:ascii="Arial" w:hAnsi="Arial"/>
        </w:rPr>
        <w:t>References</w:t>
      </w:r>
    </w:p>
    <w:p w:rsidR="00D3281C" w:rsidRDefault="00D3281C" w:rsidP="00467C56">
      <w:pPr>
        <w:spacing w:line="480" w:lineRule="auto"/>
        <w:ind w:left="720" w:hanging="720"/>
        <w:rPr>
          <w:rFonts w:ascii="Arial" w:hAnsi="Arial"/>
        </w:rPr>
      </w:pPr>
      <w:proofErr w:type="spellStart"/>
      <w:r>
        <w:t>Guse</w:t>
      </w:r>
      <w:proofErr w:type="spellEnd"/>
      <w:r>
        <w:t xml:space="preserve">, L. M. (2010). </w:t>
      </w:r>
      <w:proofErr w:type="gramStart"/>
      <w:r>
        <w:t>Assessment of the older adult.</w:t>
      </w:r>
      <w:proofErr w:type="gramEnd"/>
      <w:r>
        <w:t xml:space="preserve"> In K. L. </w:t>
      </w:r>
      <w:proofErr w:type="spellStart"/>
      <w:r>
        <w:t>Mauk</w:t>
      </w:r>
      <w:proofErr w:type="spellEnd"/>
      <w:r>
        <w:t xml:space="preserve"> (Ed.), </w:t>
      </w:r>
      <w:proofErr w:type="spellStart"/>
      <w:r>
        <w:rPr>
          <w:i/>
          <w:iCs/>
        </w:rPr>
        <w:t>Gerontological</w:t>
      </w:r>
      <w:proofErr w:type="spellEnd"/>
      <w:r>
        <w:rPr>
          <w:i/>
          <w:iCs/>
        </w:rPr>
        <w:t xml:space="preserve"> nursing: Competencies for care</w:t>
      </w:r>
      <w:r>
        <w:t xml:space="preserve"> (2nd ed., pp. 233-252). Sudbury, MA: Jones and Bartlett Publishers.</w:t>
      </w:r>
    </w:p>
    <w:p w:rsidR="00D3281C" w:rsidRDefault="00D3281C" w:rsidP="0089543E">
      <w:pPr>
        <w:ind w:firstLine="720"/>
        <w:rPr>
          <w:rFonts w:ascii="Arial" w:hAnsi="Arial"/>
        </w:rPr>
      </w:pPr>
    </w:p>
    <w:p w:rsidR="00D3281C" w:rsidRDefault="00D3281C" w:rsidP="00643B05">
      <w:pPr>
        <w:ind w:firstLine="720"/>
        <w:rPr>
          <w:rFonts w:ascii="Arial" w:hAnsi="Arial"/>
        </w:rPr>
      </w:pPr>
    </w:p>
    <w:p w:rsidR="00D3281C" w:rsidRDefault="00D3281C" w:rsidP="00643B05">
      <w:pPr>
        <w:ind w:firstLine="720"/>
        <w:jc w:val="center"/>
        <w:rPr>
          <w:rFonts w:ascii="Arial" w:hAnsi="Arial"/>
        </w:rPr>
      </w:pPr>
    </w:p>
    <w:p w:rsidR="00D3281C" w:rsidRDefault="00D3281C" w:rsidP="00643B05">
      <w:pPr>
        <w:ind w:firstLine="720"/>
        <w:jc w:val="center"/>
        <w:rPr>
          <w:rFonts w:ascii="Arial" w:hAnsi="Arial"/>
        </w:rPr>
      </w:pPr>
    </w:p>
    <w:p w:rsidR="00D3281C" w:rsidRDefault="00D3281C" w:rsidP="00643B05">
      <w:pPr>
        <w:ind w:firstLine="720"/>
        <w:jc w:val="center"/>
        <w:rPr>
          <w:rFonts w:ascii="Arial" w:hAnsi="Arial"/>
        </w:rPr>
      </w:pPr>
    </w:p>
    <w:p w:rsidR="00D3281C" w:rsidRDefault="00D3281C" w:rsidP="00615B37">
      <w:pPr>
        <w:ind w:firstLine="720"/>
        <w:rPr>
          <w:rFonts w:ascii="Arial" w:hAnsi="Arial"/>
        </w:rPr>
      </w:pPr>
    </w:p>
    <w:p w:rsidR="00D3281C" w:rsidRPr="00CB506A" w:rsidRDefault="00D3281C" w:rsidP="00506566">
      <w:pPr>
        <w:rPr>
          <w:rFonts w:ascii="Arial" w:hAnsi="Arial"/>
        </w:rPr>
      </w:pPr>
    </w:p>
    <w:sectPr w:rsidR="00D3281C" w:rsidRPr="00CB506A" w:rsidSect="009A63B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81C" w:rsidRDefault="00D3281C" w:rsidP="009A63B2">
      <w:pPr>
        <w:spacing w:after="0" w:line="240" w:lineRule="auto"/>
      </w:pPr>
      <w:r>
        <w:separator/>
      </w:r>
    </w:p>
  </w:endnote>
  <w:endnote w:type="continuationSeparator" w:id="0">
    <w:p w:rsidR="00D3281C" w:rsidRDefault="00D3281C" w:rsidP="009A6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81C" w:rsidRDefault="00D3281C" w:rsidP="009A63B2">
      <w:pPr>
        <w:spacing w:after="0" w:line="240" w:lineRule="auto"/>
      </w:pPr>
      <w:r>
        <w:separator/>
      </w:r>
    </w:p>
  </w:footnote>
  <w:footnote w:type="continuationSeparator" w:id="0">
    <w:p w:rsidR="00D3281C" w:rsidRDefault="00D3281C" w:rsidP="009A6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1C" w:rsidRDefault="00D3281C" w:rsidP="00A4368F">
    <w:pPr>
      <w:pStyle w:val="Header"/>
    </w:pPr>
    <w:r>
      <w:t>CASE STUDY 7-1 RESPONSE</w:t>
    </w:r>
    <w:r>
      <w:tab/>
    </w:r>
    <w:r>
      <w:tab/>
    </w:r>
    <w:fldSimple w:instr=" PAGE   \* MERGEFORMAT ">
      <w:r w:rsidR="00DF75DD">
        <w:rPr>
          <w:noProof/>
        </w:rPr>
        <w:t>5</w:t>
      </w:r>
    </w:fldSimple>
  </w:p>
  <w:p w:rsidR="00D3281C" w:rsidRDefault="00D32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1C" w:rsidRDefault="00D3281C" w:rsidP="009A63B2">
    <w:pPr>
      <w:pStyle w:val="Header"/>
    </w:pPr>
    <w:r>
      <w:t>Running head: CASE STUDY 7-1 RESPONSE</w:t>
    </w:r>
    <w:r>
      <w:tab/>
    </w:r>
    <w:r>
      <w:tab/>
    </w:r>
    <w:fldSimple w:instr=" PAGE   \* MERGEFORMAT ">
      <w:r w:rsidR="00DF75DD">
        <w:rPr>
          <w:noProof/>
        </w:rPr>
        <w:t>1</w:t>
      </w:r>
    </w:fldSimple>
  </w:p>
  <w:p w:rsidR="00D3281C" w:rsidRDefault="00D328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9A63B2"/>
    <w:rsid w:val="0000752C"/>
    <w:rsid w:val="00034ECC"/>
    <w:rsid w:val="00046393"/>
    <w:rsid w:val="00092DD4"/>
    <w:rsid w:val="000D3BA6"/>
    <w:rsid w:val="00124A90"/>
    <w:rsid w:val="00130038"/>
    <w:rsid w:val="00176307"/>
    <w:rsid w:val="001C05D3"/>
    <w:rsid w:val="001E29C0"/>
    <w:rsid w:val="001F0723"/>
    <w:rsid w:val="002179C0"/>
    <w:rsid w:val="00253EA1"/>
    <w:rsid w:val="00286923"/>
    <w:rsid w:val="002C7D57"/>
    <w:rsid w:val="002F3946"/>
    <w:rsid w:val="00316718"/>
    <w:rsid w:val="003A245F"/>
    <w:rsid w:val="003E1CBE"/>
    <w:rsid w:val="003E2446"/>
    <w:rsid w:val="0044312C"/>
    <w:rsid w:val="00467C56"/>
    <w:rsid w:val="0050396E"/>
    <w:rsid w:val="00506566"/>
    <w:rsid w:val="00510885"/>
    <w:rsid w:val="005D337D"/>
    <w:rsid w:val="005E411A"/>
    <w:rsid w:val="005E7397"/>
    <w:rsid w:val="00615B37"/>
    <w:rsid w:val="00643B05"/>
    <w:rsid w:val="006545BE"/>
    <w:rsid w:val="00696CC5"/>
    <w:rsid w:val="006F6E75"/>
    <w:rsid w:val="008104ED"/>
    <w:rsid w:val="00891221"/>
    <w:rsid w:val="0089543E"/>
    <w:rsid w:val="008B591E"/>
    <w:rsid w:val="008F51B1"/>
    <w:rsid w:val="0096784C"/>
    <w:rsid w:val="00982EDD"/>
    <w:rsid w:val="009A63B2"/>
    <w:rsid w:val="009F3C87"/>
    <w:rsid w:val="00A13230"/>
    <w:rsid w:val="00A3432A"/>
    <w:rsid w:val="00A4368F"/>
    <w:rsid w:val="00AC2204"/>
    <w:rsid w:val="00B02E08"/>
    <w:rsid w:val="00B23638"/>
    <w:rsid w:val="00B34CC5"/>
    <w:rsid w:val="00B60826"/>
    <w:rsid w:val="00BC3D3C"/>
    <w:rsid w:val="00BF68A9"/>
    <w:rsid w:val="00CB506A"/>
    <w:rsid w:val="00CE72AA"/>
    <w:rsid w:val="00D3281C"/>
    <w:rsid w:val="00D76F9C"/>
    <w:rsid w:val="00DE1452"/>
    <w:rsid w:val="00DF75DD"/>
    <w:rsid w:val="00E923D8"/>
    <w:rsid w:val="00EB0D48"/>
    <w:rsid w:val="00F01472"/>
    <w:rsid w:val="00F145E9"/>
    <w:rsid w:val="00F54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pPr>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63B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A63B2"/>
    <w:rPr>
      <w:rFonts w:cs="Times New Roman"/>
    </w:rPr>
  </w:style>
  <w:style w:type="paragraph" w:styleId="Footer">
    <w:name w:val="footer"/>
    <w:basedOn w:val="Normal"/>
    <w:link w:val="FooterChar"/>
    <w:uiPriority w:val="99"/>
    <w:semiHidden/>
    <w:rsid w:val="009A63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A63B2"/>
    <w:rPr>
      <w:rFonts w:cs="Times New Roman"/>
    </w:rPr>
  </w:style>
  <w:style w:type="paragraph" w:styleId="BalloonText">
    <w:name w:val="Balloon Text"/>
    <w:basedOn w:val="Normal"/>
    <w:link w:val="BalloonTextChar"/>
    <w:uiPriority w:val="99"/>
    <w:semiHidden/>
    <w:rsid w:val="009A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3B2"/>
    <w:rPr>
      <w:rFonts w:ascii="Tahoma" w:hAnsi="Tahoma" w:cs="Tahoma"/>
      <w:sz w:val="16"/>
      <w:szCs w:val="16"/>
    </w:rPr>
  </w:style>
  <w:style w:type="paragraph" w:styleId="Date">
    <w:name w:val="Date"/>
    <w:basedOn w:val="Normal"/>
    <w:next w:val="Normal"/>
    <w:link w:val="DateChar"/>
    <w:uiPriority w:val="99"/>
    <w:semiHidden/>
    <w:rsid w:val="001E29C0"/>
  </w:style>
  <w:style w:type="character" w:customStyle="1" w:styleId="DateChar">
    <w:name w:val="Date Char"/>
    <w:basedOn w:val="DefaultParagraphFont"/>
    <w:link w:val="Date"/>
    <w:uiPriority w:val="99"/>
    <w:semiHidden/>
    <w:locked/>
    <w:rsid w:val="001E29C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4376</Characters>
  <Application>Microsoft Office Word</Application>
  <DocSecurity>4</DocSecurity>
  <Lines>36</Lines>
  <Paragraphs>10</Paragraphs>
  <ScaleCrop>false</ScaleCrop>
  <Company>Eastern Illinois University</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7-1 Response</dc:title>
  <dc:creator>LTSLAB</dc:creator>
  <cp:lastModifiedBy>Lakey3</cp:lastModifiedBy>
  <cp:revision>2</cp:revision>
  <dcterms:created xsi:type="dcterms:W3CDTF">2011-07-16T23:08:00Z</dcterms:created>
  <dcterms:modified xsi:type="dcterms:W3CDTF">2011-07-16T23:08:00Z</dcterms:modified>
</cp:coreProperties>
</file>