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CD5E90" w14:textId="77777777" w:rsidR="00FE31F5" w:rsidRDefault="009A4C39">
      <w:r>
        <w:t>Case Study 1</w:t>
      </w:r>
    </w:p>
    <w:p w14:paraId="0EB16D0B" w14:textId="77777777" w:rsidR="009A4C39" w:rsidRDefault="009A4C39"/>
    <w:p w14:paraId="47B0F159" w14:textId="77777777" w:rsidR="00B41405" w:rsidRDefault="00B41405">
      <w:r>
        <w:t>1.  The advice given to the patient during the initial phone call to the unit was inappropriate.  It is important to ask a series of questions to establish a therapeutic relationship, suggest different positions for comfort measures and to increase placental perfusion, and review the signs and symptoms that denote true versus false labor so you can begin to prepare for the arrival of this patient.   Although, the nurse did this right, she did not give the patient good advice and if it were to have been me I would have told the patient that she should come in to be evaluated. (Ricci &amp; Kyle, 2009, p. 410)  According to Ricci &amp; Kyle (2009) proper telephone protocol is to, “advise the woman on the phone to contact her health care provider for further instructions or to come to the facility to be evaluated, since ruling out true labor and possible maternal-fetal complications cannot be done accurat</w:t>
      </w:r>
      <w:r w:rsidR="001A471C">
        <w:t>ely over the phone.” (p. 410).  One legal liability the nurse forgot to do was document the time and nature of the phone call, which is especially important to do on an OB unit since it is considered to have more reliabilities than many other types o</w:t>
      </w:r>
      <w:r w:rsidR="00284903">
        <w:t>f units.  Two other common legal risks with triage nursing can be delays in timely response from consultants and not relaying a sense of urgency to the consultant, which can be interpreted differently from person to person and urgency may not be noted.  (Elsevier, 2005, p. 1)</w:t>
      </w:r>
    </w:p>
    <w:p w14:paraId="6A27BF91" w14:textId="77777777" w:rsidR="00284903" w:rsidRDefault="00284903"/>
    <w:p w14:paraId="4E52CCEC" w14:textId="3AE264CB" w:rsidR="00B41405" w:rsidRDefault="00284903">
      <w:r>
        <w:t>2.</w:t>
      </w:r>
      <w:r w:rsidR="002F08A1">
        <w:t xml:space="preserve">  </w:t>
      </w:r>
      <w:r w:rsidR="00166205">
        <w:t>The significance of the meconium stained fluid should be a major sign that there could be great complications for mother and baby.  Amnio</w:t>
      </w:r>
      <w:r w:rsidR="00AB5144">
        <w:t>tic fluid should be clear because</w:t>
      </w:r>
      <w:r w:rsidR="00166205">
        <w:t xml:space="preserve"> cloudy or foul smelling fluid displays infection is present and green fluid may show </w:t>
      </w:r>
      <w:r w:rsidR="00AB5144">
        <w:t>that meconium is present.  Meconium is the first stool produced by the baby that is typically expelled between 12-24 hours postpartum.  The presence of meconium in the amniotic fluid can mean that the baby is breeched or experiencing hypoxia and fetal distress.  (Ricci &amp; Kyle, 2009, p. 488-490) If there is to be meconium present it is medically preferred</w:t>
      </w:r>
      <w:r w:rsidR="006C0289">
        <w:t xml:space="preserve"> that it be thin rather than thick.  According to </w:t>
      </w:r>
      <w:r w:rsidR="00C52FCE">
        <w:t>Murray (2007)</w:t>
      </w:r>
      <w:r w:rsidR="006C0289">
        <w:t xml:space="preserve">,”In utero aspiration of meconium may not be preventable, especially if the woman presents with thick meconium and an abnormal FHR pattern or a rising FHR baseline rate and decreased variability.” (p. 264).  </w:t>
      </w:r>
      <w:r w:rsidR="004B6FD8">
        <w:t>Thick meconium is considered a warning sign of a compromised fetus.</w:t>
      </w:r>
    </w:p>
    <w:p w14:paraId="072CF444" w14:textId="77777777" w:rsidR="004B6FD8" w:rsidRDefault="004B6FD8"/>
    <w:p w14:paraId="3BB5DD43" w14:textId="77777777" w:rsidR="00C52FCE" w:rsidRDefault="009A4C39">
      <w:r>
        <w:t>3.  The nurse was incorrect in saying that the EFHM was fine</w:t>
      </w:r>
      <w:r w:rsidR="00C45F3E">
        <w:t xml:space="preserve"> and did not give an accurate or thorough report</w:t>
      </w:r>
      <w:r>
        <w:t xml:space="preserve">.  </w:t>
      </w:r>
      <w:r w:rsidR="0051495F">
        <w:t xml:space="preserve">The strip neither looks good nor is the variability fine.  </w:t>
      </w:r>
      <w:r>
        <w:t>A fetal heart rate lower than 90 BPM and decreased variability is considered a non-reassuring sign and the OB should be notified.  The nurse did not even tell the baseline and failed to mention if they were early, late, variabl</w:t>
      </w:r>
      <w:r w:rsidR="00C45F3E">
        <w:t>e, or prolonged decelerations.  If it had been me that had spoken to the OB, I would have told her that the</w:t>
      </w:r>
      <w:r w:rsidR="0051495F">
        <w:t xml:space="preserve">re is meconium present on her maxi-pad and that the </w:t>
      </w:r>
      <w:r w:rsidR="00C45F3E">
        <w:t xml:space="preserve">EFHM strip is showing </w:t>
      </w:r>
      <w:r w:rsidR="0051495F">
        <w:t>fetal compromise</w:t>
      </w:r>
      <w:r w:rsidR="00C45F3E">
        <w:t xml:space="preserve"> and that she should come as soon as she can and I would tell her this beca</w:t>
      </w:r>
      <w:r w:rsidR="0051495F">
        <w:t>use a cesarean section seems most likely</w:t>
      </w:r>
      <w:r w:rsidR="00C45F3E">
        <w:t xml:space="preserve">. (Ricci &amp; Kyle, 2009, p.  390-393) </w:t>
      </w:r>
    </w:p>
    <w:p w14:paraId="5DEB9504" w14:textId="77777777" w:rsidR="00C52FCE" w:rsidRDefault="00C52FCE"/>
    <w:p w14:paraId="598C53F2" w14:textId="31C09DCF" w:rsidR="009A4C39" w:rsidRDefault="00C52FCE">
      <w:r>
        <w:t xml:space="preserve">4.  </w:t>
      </w:r>
      <w:bookmarkStart w:id="0" w:name="_GoBack"/>
      <w:bookmarkEnd w:id="0"/>
      <w:r w:rsidR="00C45F3E">
        <w:t xml:space="preserve"> </w:t>
      </w:r>
    </w:p>
    <w:p w14:paraId="777D5F6D" w14:textId="77777777" w:rsidR="00707183" w:rsidRDefault="00707183"/>
    <w:p w14:paraId="1FC2C3BF" w14:textId="77777777" w:rsidR="00B41405" w:rsidRDefault="00B41405"/>
    <w:p w14:paraId="0DDC46A3" w14:textId="77777777" w:rsidR="00B41405" w:rsidRDefault="00B41405"/>
    <w:p w14:paraId="568EA34B" w14:textId="77777777" w:rsidR="00B41405" w:rsidRDefault="00B41405"/>
    <w:p w14:paraId="391B6A69" w14:textId="77777777" w:rsidR="00FD7B82" w:rsidRDefault="00FD7B82" w:rsidP="000F7EB4">
      <w:pPr>
        <w:widowControl w:val="0"/>
        <w:autoSpaceDE w:val="0"/>
        <w:autoSpaceDN w:val="0"/>
        <w:adjustRightInd w:val="0"/>
        <w:ind w:right="-5760"/>
        <w:rPr>
          <w:rFonts w:ascii="Times New Roman" w:hAnsi="Times New Roman" w:cs="Times New Roman"/>
          <w:b/>
          <w:bCs/>
          <w:sz w:val="22"/>
          <w:szCs w:val="22"/>
        </w:rPr>
      </w:pPr>
    </w:p>
    <w:p w14:paraId="6BCE02C7" w14:textId="77777777" w:rsidR="00FD7B82" w:rsidRDefault="00FD7B82" w:rsidP="000F7EB4">
      <w:pPr>
        <w:widowControl w:val="0"/>
        <w:autoSpaceDE w:val="0"/>
        <w:autoSpaceDN w:val="0"/>
        <w:adjustRightInd w:val="0"/>
        <w:ind w:right="-5760"/>
        <w:rPr>
          <w:rFonts w:ascii="Times New Roman" w:hAnsi="Times New Roman" w:cs="Times New Roman"/>
          <w:b/>
          <w:bCs/>
          <w:sz w:val="22"/>
          <w:szCs w:val="22"/>
        </w:rPr>
      </w:pPr>
    </w:p>
    <w:p w14:paraId="594D74D1" w14:textId="77777777" w:rsidR="00FD7B82" w:rsidRDefault="00FD7B82" w:rsidP="000F7EB4">
      <w:pPr>
        <w:widowControl w:val="0"/>
        <w:autoSpaceDE w:val="0"/>
        <w:autoSpaceDN w:val="0"/>
        <w:adjustRightInd w:val="0"/>
        <w:ind w:right="-5760"/>
        <w:rPr>
          <w:rFonts w:ascii="Times New Roman" w:hAnsi="Times New Roman" w:cs="Times New Roman"/>
          <w:b/>
          <w:bCs/>
          <w:sz w:val="22"/>
          <w:szCs w:val="22"/>
        </w:rPr>
      </w:pPr>
    </w:p>
    <w:p w14:paraId="0B875EC1" w14:textId="77777777" w:rsidR="00FD7B82" w:rsidRPr="00284903" w:rsidRDefault="00284903" w:rsidP="000F7EB4">
      <w:pPr>
        <w:widowControl w:val="0"/>
        <w:autoSpaceDE w:val="0"/>
        <w:autoSpaceDN w:val="0"/>
        <w:adjustRightInd w:val="0"/>
        <w:ind w:right="-5760"/>
        <w:rPr>
          <w:rFonts w:ascii="Times" w:hAnsi="Times" w:cs="Times New Roman"/>
          <w:bCs/>
        </w:rPr>
      </w:pPr>
      <w:proofErr w:type="spellStart"/>
      <w:r w:rsidRPr="00284903">
        <w:rPr>
          <w:rFonts w:ascii="Times" w:hAnsi="Times" w:cs="Times New Roman"/>
          <w:bCs/>
        </w:rPr>
        <w:t>Angelini</w:t>
      </w:r>
      <w:proofErr w:type="spellEnd"/>
      <w:r w:rsidRPr="00284903">
        <w:rPr>
          <w:rFonts w:ascii="Times" w:hAnsi="Times" w:cs="Times New Roman"/>
          <w:bCs/>
        </w:rPr>
        <w:t xml:space="preserve">, D, J., &amp; </w:t>
      </w:r>
      <w:proofErr w:type="spellStart"/>
      <w:r w:rsidRPr="00284903">
        <w:rPr>
          <w:rFonts w:ascii="Times" w:hAnsi="Times" w:cs="Times New Roman"/>
          <w:bCs/>
        </w:rPr>
        <w:t>Mahlmeister</w:t>
      </w:r>
      <w:proofErr w:type="spellEnd"/>
      <w:r w:rsidRPr="00284903">
        <w:rPr>
          <w:rFonts w:ascii="Times" w:hAnsi="Times" w:cs="Times New Roman"/>
          <w:bCs/>
        </w:rPr>
        <w:t xml:space="preserve">, L, R., (2005). </w:t>
      </w:r>
      <w:r w:rsidRPr="00284903">
        <w:rPr>
          <w:rFonts w:ascii="Times" w:hAnsi="Times" w:cs="Palatino"/>
          <w:bCs/>
          <w:i/>
          <w:color w:val="052456"/>
        </w:rPr>
        <w:t>Management of EMTALA Regulations and Common Obstetric Risks: Common Obstetric Risks in Triage.</w:t>
      </w:r>
      <w:r>
        <w:rPr>
          <w:rFonts w:ascii="Times" w:hAnsi="Times" w:cs="Palatino"/>
          <w:bCs/>
          <w:i/>
          <w:color w:val="052456"/>
        </w:rPr>
        <w:t xml:space="preserve">  </w:t>
      </w:r>
      <w:r>
        <w:rPr>
          <w:rFonts w:ascii="Times" w:hAnsi="Times" w:cs="Palatino"/>
          <w:bCs/>
          <w:color w:val="052456"/>
        </w:rPr>
        <w:t xml:space="preserve">Retrieved from </w:t>
      </w:r>
      <w:r w:rsidRPr="00284903">
        <w:rPr>
          <w:rFonts w:ascii="Times" w:hAnsi="Times" w:cs="Palatino"/>
          <w:bCs/>
          <w:color w:val="052456"/>
        </w:rPr>
        <w:t>http://www.medscape.com/viewarticle/516438_3</w:t>
      </w:r>
    </w:p>
    <w:p w14:paraId="634ACA02" w14:textId="77777777" w:rsidR="00FD7B82" w:rsidRDefault="00FD7B82" w:rsidP="000F7EB4">
      <w:pPr>
        <w:widowControl w:val="0"/>
        <w:autoSpaceDE w:val="0"/>
        <w:autoSpaceDN w:val="0"/>
        <w:adjustRightInd w:val="0"/>
        <w:ind w:right="-5760"/>
        <w:rPr>
          <w:rFonts w:ascii="Times New Roman" w:hAnsi="Times New Roman" w:cs="Times New Roman"/>
          <w:b/>
          <w:bCs/>
          <w:sz w:val="22"/>
          <w:szCs w:val="22"/>
        </w:rPr>
      </w:pPr>
    </w:p>
    <w:p w14:paraId="47349BE6" w14:textId="77777777" w:rsidR="00FD7B82" w:rsidRDefault="00FD7B82" w:rsidP="000F7EB4">
      <w:pPr>
        <w:widowControl w:val="0"/>
        <w:autoSpaceDE w:val="0"/>
        <w:autoSpaceDN w:val="0"/>
        <w:adjustRightInd w:val="0"/>
        <w:ind w:right="-5760"/>
        <w:rPr>
          <w:rFonts w:ascii="Times New Roman" w:hAnsi="Times New Roman" w:cs="Times New Roman"/>
          <w:b/>
          <w:bCs/>
          <w:sz w:val="22"/>
          <w:szCs w:val="22"/>
        </w:rPr>
      </w:pPr>
    </w:p>
    <w:p w14:paraId="484D92FB" w14:textId="77777777" w:rsidR="00FD7B82" w:rsidRDefault="00FD7B82" w:rsidP="000F7EB4">
      <w:pPr>
        <w:widowControl w:val="0"/>
        <w:autoSpaceDE w:val="0"/>
        <w:autoSpaceDN w:val="0"/>
        <w:adjustRightInd w:val="0"/>
        <w:ind w:right="-5760"/>
        <w:rPr>
          <w:rFonts w:ascii="Times New Roman" w:hAnsi="Times New Roman" w:cs="Times New Roman"/>
          <w:b/>
          <w:bCs/>
          <w:sz w:val="22"/>
          <w:szCs w:val="22"/>
        </w:rPr>
      </w:pPr>
    </w:p>
    <w:p w14:paraId="630C8B83" w14:textId="77777777" w:rsidR="00FD7B82" w:rsidRDefault="00FD7B82" w:rsidP="000F7EB4">
      <w:pPr>
        <w:widowControl w:val="0"/>
        <w:autoSpaceDE w:val="0"/>
        <w:autoSpaceDN w:val="0"/>
        <w:adjustRightInd w:val="0"/>
        <w:ind w:right="-5760"/>
        <w:rPr>
          <w:rFonts w:ascii="Times New Roman" w:hAnsi="Times New Roman" w:cs="Times New Roman"/>
          <w:b/>
          <w:bCs/>
          <w:sz w:val="22"/>
          <w:szCs w:val="22"/>
        </w:rPr>
      </w:pPr>
    </w:p>
    <w:p w14:paraId="735102BE" w14:textId="77777777" w:rsidR="00FD7B82" w:rsidRDefault="00FD7B82" w:rsidP="000F7EB4">
      <w:pPr>
        <w:widowControl w:val="0"/>
        <w:autoSpaceDE w:val="0"/>
        <w:autoSpaceDN w:val="0"/>
        <w:adjustRightInd w:val="0"/>
        <w:ind w:right="-5760"/>
        <w:rPr>
          <w:rFonts w:ascii="Times New Roman" w:hAnsi="Times New Roman" w:cs="Times New Roman"/>
          <w:b/>
          <w:bCs/>
          <w:sz w:val="22"/>
          <w:szCs w:val="22"/>
        </w:rPr>
      </w:pPr>
    </w:p>
    <w:p w14:paraId="05E33148" w14:textId="77777777" w:rsidR="000F7EB4" w:rsidRDefault="000F7EB4" w:rsidP="000F7EB4">
      <w:pPr>
        <w:widowControl w:val="0"/>
        <w:autoSpaceDE w:val="0"/>
        <w:autoSpaceDN w:val="0"/>
        <w:adjustRightInd w:val="0"/>
        <w:ind w:right="-5760"/>
        <w:rPr>
          <w:rFonts w:ascii="Times New Roman" w:hAnsi="Times New Roman" w:cs="Times New Roman"/>
          <w:b/>
          <w:bCs/>
          <w:sz w:val="22"/>
          <w:szCs w:val="22"/>
        </w:rPr>
      </w:pPr>
      <w:r>
        <w:rPr>
          <w:rFonts w:ascii="Times New Roman" w:hAnsi="Times New Roman" w:cs="Times New Roman"/>
          <w:b/>
          <w:bCs/>
          <w:sz w:val="22"/>
          <w:szCs w:val="22"/>
        </w:rPr>
        <w:t xml:space="preserve">This patient is diagnosed with </w:t>
      </w:r>
      <w:proofErr w:type="spellStart"/>
      <w:r>
        <w:rPr>
          <w:rFonts w:ascii="Times New Roman" w:hAnsi="Times New Roman" w:cs="Times New Roman"/>
          <w:b/>
          <w:bCs/>
          <w:sz w:val="22"/>
          <w:szCs w:val="22"/>
        </w:rPr>
        <w:t>pseudoachondroplasia</w:t>
      </w:r>
      <w:proofErr w:type="spellEnd"/>
      <w:r>
        <w:rPr>
          <w:rFonts w:ascii="Times New Roman" w:hAnsi="Times New Roman" w:cs="Times New Roman"/>
          <w:b/>
          <w:bCs/>
          <w:sz w:val="22"/>
          <w:szCs w:val="22"/>
        </w:rPr>
        <w:t xml:space="preserve">, which is an inherited disorder of bone growth.  This disorder is inherited from an affected parent or as a result of new mutations in the COMP gene responsible for </w:t>
      </w:r>
      <w:proofErr w:type="spellStart"/>
      <w:r>
        <w:rPr>
          <w:rFonts w:ascii="Times New Roman" w:hAnsi="Times New Roman" w:cs="Times New Roman"/>
          <w:b/>
          <w:bCs/>
          <w:sz w:val="22"/>
          <w:szCs w:val="22"/>
        </w:rPr>
        <w:t>pseudoachondroplasia</w:t>
      </w:r>
      <w:proofErr w:type="spellEnd"/>
      <w:r>
        <w:rPr>
          <w:rFonts w:ascii="Times New Roman" w:hAnsi="Times New Roman" w:cs="Times New Roman"/>
          <w:b/>
          <w:bCs/>
          <w:sz w:val="22"/>
          <w:szCs w:val="22"/>
        </w:rPr>
        <w:t xml:space="preserve">.  This occurs due to a mutation COMP (Cartilage </w:t>
      </w:r>
      <w:proofErr w:type="spellStart"/>
      <w:r>
        <w:rPr>
          <w:rFonts w:ascii="Times New Roman" w:hAnsi="Times New Roman" w:cs="Times New Roman"/>
          <w:b/>
          <w:bCs/>
          <w:sz w:val="22"/>
          <w:szCs w:val="22"/>
        </w:rPr>
        <w:t>Oligomeric</w:t>
      </w:r>
      <w:proofErr w:type="spellEnd"/>
      <w:r>
        <w:rPr>
          <w:rFonts w:ascii="Times New Roman" w:hAnsi="Times New Roman" w:cs="Times New Roman"/>
          <w:b/>
          <w:bCs/>
          <w:sz w:val="22"/>
          <w:szCs w:val="22"/>
        </w:rPr>
        <w:t xml:space="preserve"> Protein) gene, which provides instructions for making a protein that is essential for the hormonal development of cartilage and for its conversion to bone.  Those </w:t>
      </w:r>
      <w:proofErr w:type="gramStart"/>
      <w:r>
        <w:rPr>
          <w:rFonts w:ascii="Times New Roman" w:hAnsi="Times New Roman" w:cs="Times New Roman"/>
          <w:b/>
          <w:bCs/>
          <w:sz w:val="22"/>
          <w:szCs w:val="22"/>
        </w:rPr>
        <w:t>effected</w:t>
      </w:r>
      <w:proofErr w:type="gramEnd"/>
      <w:r>
        <w:rPr>
          <w:rFonts w:ascii="Times New Roman" w:hAnsi="Times New Roman" w:cs="Times New Roman"/>
          <w:b/>
          <w:bCs/>
          <w:sz w:val="22"/>
          <w:szCs w:val="22"/>
        </w:rPr>
        <w:t xml:space="preserve"> by this mutation in the COMP gene typically have a short stature, but do not appear unusually short at birth.  Around the age of two years old is when the growth rate falls below the standard growth curve.  Characteristics of this disorder include short arms and legs, waddling walk, early onset osteoarthritis, and limited range of motion at the elbows and hips.  These patients also have a disproportionately long trunk, a prominent abdomen, delayed development of the femoral head resulting in hip </w:t>
      </w:r>
      <w:proofErr w:type="spellStart"/>
      <w:r>
        <w:rPr>
          <w:rFonts w:ascii="Times New Roman" w:hAnsi="Times New Roman" w:cs="Times New Roman"/>
          <w:b/>
          <w:bCs/>
          <w:sz w:val="22"/>
          <w:szCs w:val="22"/>
        </w:rPr>
        <w:t>displasia</w:t>
      </w:r>
      <w:proofErr w:type="spellEnd"/>
      <w:r>
        <w:rPr>
          <w:rFonts w:ascii="Times New Roman" w:hAnsi="Times New Roman" w:cs="Times New Roman"/>
          <w:b/>
          <w:bCs/>
          <w:sz w:val="22"/>
          <w:szCs w:val="22"/>
        </w:rPr>
        <w:t xml:space="preserve"> and a waddling gait, and genu </w:t>
      </w:r>
      <w:proofErr w:type="spellStart"/>
      <w:r>
        <w:rPr>
          <w:rFonts w:ascii="Times New Roman" w:hAnsi="Times New Roman" w:cs="Times New Roman"/>
          <w:b/>
          <w:bCs/>
          <w:sz w:val="22"/>
          <w:szCs w:val="22"/>
        </w:rPr>
        <w:t>varus</w:t>
      </w:r>
      <w:proofErr w:type="spellEnd"/>
      <w:r>
        <w:rPr>
          <w:rFonts w:ascii="Times New Roman" w:hAnsi="Times New Roman" w:cs="Times New Roman"/>
          <w:b/>
          <w:bCs/>
          <w:sz w:val="22"/>
          <w:szCs w:val="22"/>
        </w:rPr>
        <w:t xml:space="preserve"> or </w:t>
      </w:r>
      <w:proofErr w:type="spellStart"/>
      <w:r>
        <w:rPr>
          <w:rFonts w:ascii="Times New Roman" w:hAnsi="Times New Roman" w:cs="Times New Roman"/>
          <w:b/>
          <w:bCs/>
          <w:sz w:val="22"/>
          <w:szCs w:val="22"/>
        </w:rPr>
        <w:t>vulgus</w:t>
      </w:r>
      <w:proofErr w:type="spellEnd"/>
      <w:r>
        <w:rPr>
          <w:rFonts w:ascii="Times New Roman" w:hAnsi="Times New Roman" w:cs="Times New Roman"/>
          <w:b/>
          <w:bCs/>
          <w:sz w:val="22"/>
          <w:szCs w:val="22"/>
        </w:rPr>
        <w:t xml:space="preserve"> (bow-legged or knock kneed).  Scoliosis and/or </w:t>
      </w:r>
      <w:proofErr w:type="spellStart"/>
      <w:r>
        <w:rPr>
          <w:rFonts w:ascii="Times New Roman" w:hAnsi="Times New Roman" w:cs="Times New Roman"/>
          <w:b/>
          <w:bCs/>
          <w:sz w:val="22"/>
          <w:szCs w:val="22"/>
        </w:rPr>
        <w:t>lordosis</w:t>
      </w:r>
      <w:proofErr w:type="spellEnd"/>
      <w:r>
        <w:rPr>
          <w:rFonts w:ascii="Times New Roman" w:hAnsi="Times New Roman" w:cs="Times New Roman"/>
          <w:b/>
          <w:bCs/>
          <w:sz w:val="22"/>
          <w:szCs w:val="22"/>
        </w:rPr>
        <w:t xml:space="preserve"> </w:t>
      </w:r>
      <w:proofErr w:type="gramStart"/>
      <w:r>
        <w:rPr>
          <w:rFonts w:ascii="Times New Roman" w:hAnsi="Times New Roman" w:cs="Times New Roman"/>
          <w:b/>
          <w:bCs/>
          <w:sz w:val="22"/>
          <w:szCs w:val="22"/>
        </w:rPr>
        <w:t>is</w:t>
      </w:r>
      <w:proofErr w:type="gramEnd"/>
      <w:r>
        <w:rPr>
          <w:rFonts w:ascii="Times New Roman" w:hAnsi="Times New Roman" w:cs="Times New Roman"/>
          <w:b/>
          <w:bCs/>
          <w:sz w:val="22"/>
          <w:szCs w:val="22"/>
        </w:rPr>
        <w:t xml:space="preserve"> a common development in these patients.</w:t>
      </w:r>
    </w:p>
    <w:p w14:paraId="77E64D2D" w14:textId="77777777" w:rsidR="000F7EB4" w:rsidRDefault="000F7EB4" w:rsidP="000F7EB4">
      <w:pPr>
        <w:widowControl w:val="0"/>
        <w:autoSpaceDE w:val="0"/>
        <w:autoSpaceDN w:val="0"/>
        <w:adjustRightInd w:val="0"/>
        <w:ind w:right="-5760"/>
        <w:rPr>
          <w:rFonts w:ascii="Times New Roman" w:hAnsi="Times New Roman" w:cs="Times New Roman"/>
          <w:b/>
          <w:bCs/>
          <w:sz w:val="22"/>
          <w:szCs w:val="22"/>
        </w:rPr>
      </w:pPr>
    </w:p>
    <w:p w14:paraId="592BB620" w14:textId="77777777" w:rsidR="00707183" w:rsidRDefault="00707183"/>
    <w:sectPr w:rsidR="00707183" w:rsidSect="00FE31F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C39"/>
    <w:rsid w:val="000F7EB4"/>
    <w:rsid w:val="00166205"/>
    <w:rsid w:val="001A471C"/>
    <w:rsid w:val="00284903"/>
    <w:rsid w:val="002F08A1"/>
    <w:rsid w:val="004B6FD8"/>
    <w:rsid w:val="0051495F"/>
    <w:rsid w:val="006C0289"/>
    <w:rsid w:val="00707183"/>
    <w:rsid w:val="009A4C39"/>
    <w:rsid w:val="00AB5144"/>
    <w:rsid w:val="00B41405"/>
    <w:rsid w:val="00C45F3E"/>
    <w:rsid w:val="00C52FCE"/>
    <w:rsid w:val="00FD7B82"/>
    <w:rsid w:val="00FE31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A3E7A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90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9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671</Words>
  <Characters>3828</Characters>
  <Application>Microsoft Macintosh Word</Application>
  <DocSecurity>0</DocSecurity>
  <Lines>31</Lines>
  <Paragraphs>8</Paragraphs>
  <ScaleCrop>false</ScaleCrop>
  <Company/>
  <LinksUpToDate>false</LinksUpToDate>
  <CharactersWithSpaces>4491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Chanelle Carley</dc:creator>
  <cp:keywords/>
  <dc:description/>
  <cp:lastModifiedBy>Chanelle Carley</cp:lastModifiedBy>
  <cp:revision>5</cp:revision>
  <dcterms:created xsi:type="dcterms:W3CDTF">2012-02-26T20:50:00Z</dcterms:created>
  <dcterms:modified xsi:type="dcterms:W3CDTF">2012-03-01T09:55:00Z</dcterms:modified>
</cp:coreProperties>
</file>