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54" w:rsidRDefault="00F50754" w:rsidP="00BA40E6">
      <w:pPr>
        <w:spacing w:line="24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D337CF">
      <w:pPr>
        <w:spacing w:line="240" w:lineRule="auto"/>
        <w:jc w:val="center"/>
      </w:pPr>
      <w:r>
        <w:t>Blood Incompatibilities</w:t>
      </w:r>
    </w:p>
    <w:p w:rsidR="00F50754" w:rsidRDefault="00F50754" w:rsidP="00D337CF">
      <w:pPr>
        <w:spacing w:line="240" w:lineRule="auto"/>
        <w:jc w:val="center"/>
      </w:pPr>
      <w:r>
        <w:t>Linda Barselow</w:t>
      </w:r>
    </w:p>
    <w:p w:rsidR="00F50754" w:rsidRDefault="00F50754" w:rsidP="00D337CF">
      <w:pPr>
        <w:spacing w:line="240" w:lineRule="auto"/>
        <w:jc w:val="center"/>
      </w:pPr>
      <w:r>
        <w:t xml:space="preserve">Lakeview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p>
    <w:p w:rsidR="00F50754" w:rsidRDefault="00F50754" w:rsidP="00D337CF">
      <w:pPr>
        <w:spacing w:line="240" w:lineRule="auto"/>
        <w:jc w:val="center"/>
      </w:pPr>
      <w:r>
        <w:t>November 15, 2011</w:t>
      </w: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r>
        <w:t>Blood Incompatibilities</w:t>
      </w:r>
    </w:p>
    <w:p w:rsidR="00F50754" w:rsidRPr="00852385" w:rsidRDefault="00F50754" w:rsidP="00BA40E6">
      <w:pPr>
        <w:spacing w:line="480" w:lineRule="auto"/>
        <w:jc w:val="center"/>
        <w:rPr>
          <w:b/>
        </w:rPr>
      </w:pPr>
      <w:r>
        <w:rPr>
          <w:b/>
        </w:rPr>
        <w:t>Introduction</w:t>
      </w:r>
    </w:p>
    <w:p w:rsidR="00F50754" w:rsidRDefault="00F50754" w:rsidP="00BA40E6">
      <w:pPr>
        <w:spacing w:line="480" w:lineRule="auto"/>
      </w:pPr>
      <w:r>
        <w:tab/>
        <w:t xml:space="preserve">The purpose of this paper is to define blood incompatibilities between a fetus and mother.  The etiology of the diagnosis related to pregnancy complications, consequences of the diagnosis, standard treatment at this time, and specific medication with route, dosage and side effects will be discussed.   Two nursing diagnoses and five nursing interventions will be identified.  </w:t>
      </w:r>
    </w:p>
    <w:p w:rsidR="00F50754" w:rsidRDefault="00F50754" w:rsidP="000D3393">
      <w:pPr>
        <w:spacing w:line="480" w:lineRule="auto"/>
        <w:jc w:val="center"/>
      </w:pPr>
      <w:r>
        <w:rPr>
          <w:b/>
        </w:rPr>
        <w:t>Content</w:t>
      </w:r>
    </w:p>
    <w:p w:rsidR="00F50754" w:rsidRDefault="00F50754" w:rsidP="000D3393">
      <w:pPr>
        <w:spacing w:line="480" w:lineRule="auto"/>
      </w:pPr>
      <w:r>
        <w:tab/>
        <w:t xml:space="preserve">Of the two main blood incompatibilities, the more serious is the Rh (Rhesus) factor.  This incompatibility involves Rh antigens which are protein based; whose surface expression involves an interaction of two genic loci, that endows the Rh antigens, particularly the recently evolved D antigen to potentiate alloimmune reactions to counteract blood incompatibility, whereas the ABO blood incompatibility are carbohydrate antigens, depending on the enzymatic activity and specificity of allelic glycosyltransferases (Huang &amp; Ye, 2009).   Studies have indicated a connection of the Rh factor with the transportation of ammonia and carbon dioxide, which is </w:t>
      </w:r>
      <w:bookmarkStart w:id="0" w:name="_GoBack"/>
      <w:bookmarkEnd w:id="0"/>
      <w:r>
        <w:t xml:space="preserve">why the pH is important in analysis and monitoring because ammonium transport in the distal nephron and ammonium detoxification by the liver are critical for acid-base regulation and to avoid hyperammonemic hepatic encephalopathy, (Callebaut et al, 2006).  On red blood cells, the Rh complex might mainly function as a carbon dioxide channel for carbon dioxide and oxygen exchange (Callebaut et al, 2006).   Etiology of maternal alloimmunization (isoimmunization) occurs when a woman’s immune system is sensitized to foreign erythrocyte surface antigens, stimulating the production of IgG antibodies (El Din, et al 2011).  Evaluation for the presence of maternal anti-D antibody should be done at the first prenatal visit, because the presence or absence of the RhD gene determines the genetic basis for Rh positivity and Rh negativity (El Din et al, 2011).  This is done with routine antibody testing, in which a positive direct antiglobulin test means that there are IgG antibodies from the mother that transferred across the placenta and are attached to the infant’s red blood cells, causing breakdown, or hemolysis (Rubarth, 2011).  The incidence of hemolytic disease of the infant secondary to the Rh factor is about one to six cases per one thousand pregnancies (El Din et al, 2011).  In the US, an Ig anti-D administration is recommended during the third trimester of pregnancy even though the RhD blood group of the fetus is unknown, with repeated screenings performed antenatally in the blood of every non anti-D immunized Rh-D negative pregnant woman, although 30 to 40 per cent of them carry an Rh-D negative fetus without risk of hemolytic disease (Van Kim et al, 2005). </w:t>
      </w:r>
    </w:p>
    <w:p w:rsidR="00F50754" w:rsidRDefault="00F50754" w:rsidP="00BA40E6">
      <w:pPr>
        <w:spacing w:line="480" w:lineRule="auto"/>
      </w:pPr>
      <w:r>
        <w:tab/>
        <w:t>Consequences of this condition range from anemia and hyperubinemia (excessive bilirubin levels greater than 0.15 mg/dL), (Carpentito-Moyer, 2010),  to fetal hydrops, kernicterus (severe nervous system dysfunction), and death (Geaghan, 2011), in severe cases, hemolysis can lead to extramedullary hematopoiesis and reticuloendothelial clearance of fetal erythrocytes, resulting in possible hepatomegaly, decreased liver function, and ensuing hypoproteinemia, ascites, and anasarca ( severe generalized edema) (El Din et al, 2011).   When accompanied by high-output cardiac failure, this is known as fetal hydrops, which is often fatal without intervention (El Din et al, 2011).  Other research has shown that both blood incompatibilities heighten the risk for schizophrenia later in life for second and later born children, especially males, based on neuromotor and neurocognitive dysfunction and smaller total cortical gray matter volume  (Freedman et al, 2011).  Standard medical treatment for Rh incompatibility involves prevention, by administration of anti-D immune globin (RhoGam) prophylaxis for Rh negative women (El Din et al, 2011).  To reduce the risk of Rh alloimmunization in a subsequent pregnancy, RhD-negative women are given anti-RhD antibodies after miscarriage, and the birth of an Rh-D positive baby, or any obstetrical procedure that may cause fetomaternal hemorrhage (El Din et al, 2011). Complications related to pregnancy are that once a fetus found to be RhD positive, the first intervention is to detect fetal anemia, prior to fetal compromise, and correct it by close monitoring, and routine antenatal anti-D prophylaxis until fetal lung maturity enough for delivery (El Din et al, 2011).  RhoGam is given Intra Muscular (IM) 300 mcg (1500 international units) at 28 weeks gestation, repeated within 72 hours of delivery of confirmed RhD positive infant, also used for known or suspected massive feto-maternal hemorrhage, spontaneous abortion, induced termination or ectopic pregnancy, ectopic rupture, amniocentesis, chronic villus sampling, abdominal trauma, and percutaneous umbilical cord sampling (Skidmore-Roth, 2011).  Side effects of RhoGam are lethargy, irritation at injection site, fever and myalgia (Skidmore-Roth, 2011).    Future prophylaxis concern the fact that T-cell responses are required for immune response to antigen, mapping of D antigen T-cell epitopes predicts toleragens to use for prevention of alloimmunization.  Feeding toleragenic peptides to prepubescent D-negative females can induce tolerance to the D antigen (Geaghan, 2011).   Priority and secondary nursing diagnosis are: Risk for injury and complications related to hemolytic disease and effects of phototherapy as evidenced by Rh blood incompatibilities, and Deficient knowledge related to hyperbilirubinemia and treatment as evidenced by Rh blood incompatibilities.  Interventions for</w:t>
      </w:r>
      <w:r w:rsidRPr="00E17DDE">
        <w:t xml:space="preserve"> hyperbilirubinemia</w:t>
      </w:r>
      <w:r>
        <w:t>:</w:t>
      </w:r>
      <w:r w:rsidRPr="00E17DDE">
        <w:t xml:space="preserve">  prevent cold stress, because metabolism of brown adipose tissue releases nonesterified free fatty acids, which compete with bilirubin for albumin-binding sites, ensure adequate hydration and intake to facilitate bilirubin excretion, evaluate for presence of jaundice, </w:t>
      </w:r>
      <w:r>
        <w:t xml:space="preserve">(yellowish skin, sclera, and mucous membranes) differentiate between physiological and pathological by pressing the infant’s skin on the cheek or abdomen lightly with one finger, then release pressure and observe skin color for yellowish tint as the skin is blanched, note time of onset (Wissman, 2007) </w:t>
      </w:r>
      <w:r w:rsidRPr="00E17DDE">
        <w:t>and initiate phototherapy</w:t>
      </w:r>
      <w:r>
        <w:t>, the standard medical treatment</w:t>
      </w:r>
      <w:r w:rsidRPr="00E17DDE">
        <w:t xml:space="preserve"> (Carpentito-Moyet 2010). </w:t>
      </w:r>
      <w:r>
        <w:t>Monitor for signs and symptoms of kernicterus, (yellowish skin, lethargy, hypotonic which is backward arching of the neck and trunk, poor suck, high pitched cry), check axillary temperature every four hours during phototherapy, educate parents on signs of neurotoxicity, provide written instructions, and arrange for daily home health nurse visits (Carpentito-Moyet, 2010).</w:t>
      </w:r>
    </w:p>
    <w:p w:rsidR="00F50754" w:rsidRDefault="00F50754" w:rsidP="00BA40E6">
      <w:pPr>
        <w:spacing w:line="480" w:lineRule="auto"/>
        <w:jc w:val="center"/>
        <w:rPr>
          <w:b/>
        </w:rPr>
      </w:pPr>
      <w:r>
        <w:rPr>
          <w:b/>
        </w:rPr>
        <w:t>Conclusion</w:t>
      </w:r>
    </w:p>
    <w:p w:rsidR="00F50754" w:rsidRDefault="00F50754" w:rsidP="00BA40E6">
      <w:pPr>
        <w:spacing w:line="480" w:lineRule="auto"/>
      </w:pPr>
      <w:r>
        <w:rPr>
          <w:b/>
        </w:rPr>
        <w:tab/>
      </w:r>
      <w:r w:rsidRPr="005D683D">
        <w:t>Early detection</w:t>
      </w:r>
      <w:r>
        <w:t xml:space="preserve"> and treatment of the Rh blood incompatibly and ongoing research gives hope for the management of risks associated with alloimmunisation.  Routine screening should be done at the first prenatal visit to determine blood group, Rh status, and the presence of maternal antibodies.  Different sets of gene specific primers at two different loci should be used to improve the prediction of genotype and to eliminate the possibility of laboratory and genetic errors (El Din et al, 201).</w:t>
      </w:r>
    </w:p>
    <w:p w:rsidR="00F50754" w:rsidRDefault="00F50754" w:rsidP="00BA40E6">
      <w:pPr>
        <w:spacing w:line="480" w:lineRule="auto"/>
      </w:pPr>
    </w:p>
    <w:p w:rsidR="00F50754" w:rsidRDefault="00F50754" w:rsidP="00BA40E6">
      <w:pPr>
        <w:spacing w:line="480" w:lineRule="auto"/>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p>
    <w:p w:rsidR="00F50754" w:rsidRDefault="00F50754" w:rsidP="00BA40E6">
      <w:pPr>
        <w:spacing w:line="480" w:lineRule="auto"/>
        <w:jc w:val="center"/>
      </w:pPr>
      <w:r>
        <w:t>References</w:t>
      </w:r>
    </w:p>
    <w:p w:rsidR="00F50754" w:rsidRDefault="00F50754" w:rsidP="00BA40E6">
      <w:pPr>
        <w:spacing w:line="480" w:lineRule="auto"/>
        <w:ind w:left="720" w:hanging="720"/>
      </w:pPr>
      <w:r>
        <w:t xml:space="preserve">Callebaut, I., Dulin, F., Bertrand, O., Ripoche, P., Mouro, </w:t>
      </w:r>
      <w:smartTag w:uri="urn:schemas-microsoft-com:office:smarttags" w:element="place">
        <w:r>
          <w:t>I.</w:t>
        </w:r>
      </w:smartTag>
      <w:r>
        <w:t xml:space="preserve">, Colin, Y., Mornon, J. P., Cartron, J. P. (2006). Hydrophobic cluster analysis and modeling of the human Rh protein three-dimensional structures. </w:t>
      </w:r>
      <w:r>
        <w:rPr>
          <w:i/>
        </w:rPr>
        <w:t xml:space="preserve">Science Direct </w:t>
      </w:r>
      <w:r>
        <w:t xml:space="preserve">13, 70-84. doi: 10.1016/j.tracli2006.02.001 </w:t>
      </w:r>
    </w:p>
    <w:p w:rsidR="00F50754" w:rsidRDefault="00F50754" w:rsidP="00BA40E6">
      <w:pPr>
        <w:spacing w:line="480" w:lineRule="auto"/>
        <w:ind w:left="720" w:hanging="720"/>
      </w:pPr>
      <w:r>
        <w:t xml:space="preserve">Carpentito-Moyet, L. J., (2010).  </w:t>
      </w:r>
      <w:r>
        <w:rPr>
          <w:i/>
        </w:rPr>
        <w:t>Nursing diagnosis application to clinical practice.</w:t>
      </w:r>
      <w:r>
        <w:t xml:space="preserve">  Thirteenth Edition.  </w:t>
      </w:r>
      <w:smartTag w:uri="urn:schemas-microsoft-com:office:smarttags" w:element="place">
        <w:smartTag w:uri="urn:schemas-microsoft-com:office:smarttags" w:element="City">
          <w:r>
            <w:t>Philadelphia</w:t>
          </w:r>
        </w:smartTag>
      </w:smartTag>
      <w:r>
        <w:t>: Lippencott Williams &amp; Wilkins.</w:t>
      </w:r>
    </w:p>
    <w:p w:rsidR="00F50754" w:rsidRDefault="00F50754" w:rsidP="00BA40E6">
      <w:pPr>
        <w:spacing w:line="480" w:lineRule="auto"/>
        <w:ind w:left="720" w:hanging="720"/>
      </w:pPr>
      <w:r>
        <w:t xml:space="preserve">El Din, S. M. N., ARamy, A. R. M., Ali, M. S. (2011). Correlation between the RhD genotyping and RhD serotyping in isoimmunized pregnancies. </w:t>
      </w:r>
      <w:r>
        <w:rPr>
          <w:i/>
        </w:rPr>
        <w:t>The Egyptian Journal of Medical Human Genetics.</w:t>
      </w:r>
      <w:r>
        <w:t xml:space="preserve"> doi: 10.1016/j.ejmhg.2011.06.005</w:t>
      </w:r>
    </w:p>
    <w:p w:rsidR="00F50754" w:rsidRDefault="00F50754" w:rsidP="00BA40E6">
      <w:pPr>
        <w:spacing w:line="480" w:lineRule="auto"/>
        <w:ind w:left="720" w:hanging="720"/>
      </w:pPr>
      <w:r>
        <w:t xml:space="preserve">Freeman, D., Deicken, R., Kegeles, L. S., Vinogradov, Y. B., Brown, A. S. (2011). Maternal-fetal blood incompatibility and neuromorphologic anomalies in schizophrenia: preliminary findings. </w:t>
      </w:r>
      <w:r>
        <w:rPr>
          <w:i/>
        </w:rPr>
        <w:t xml:space="preserve">Progress in neuro-Psychopharmacology &amp; Biological Psychiatry, </w:t>
      </w:r>
      <w:r>
        <w:t xml:space="preserve">35, 1525-1529. doi: 10.1016/j.pnpbp.2011.04.012   </w:t>
      </w:r>
    </w:p>
    <w:p w:rsidR="00F50754" w:rsidRDefault="00F50754" w:rsidP="00BA40E6">
      <w:pPr>
        <w:spacing w:line="480" w:lineRule="auto"/>
        <w:ind w:left="720" w:hanging="720"/>
      </w:pPr>
      <w:r>
        <w:t xml:space="preserve">Geaghan, S. M. (2011). Diagnostic laboratory technologies for the fetus and neonate with isoimmunization. </w:t>
      </w:r>
      <w:r>
        <w:rPr>
          <w:i/>
        </w:rPr>
        <w:t>Seminars in Perinatology.</w:t>
      </w:r>
      <w:r>
        <w:t xml:space="preserve"> doi: 10.1054/jsemperi.2011.02.009</w:t>
      </w:r>
    </w:p>
    <w:p w:rsidR="00F50754" w:rsidRDefault="00F50754" w:rsidP="00BA40E6">
      <w:pPr>
        <w:spacing w:line="480" w:lineRule="auto"/>
        <w:ind w:left="720" w:hanging="720"/>
      </w:pPr>
      <w:r>
        <w:t xml:space="preserve">Huang, C. H., &amp; Ye, M. (2010). The Rh family: gene evolution, membrane biology, and disease association. </w:t>
      </w:r>
      <w:r>
        <w:rPr>
          <w:i/>
        </w:rPr>
        <w:t>Cellular and Molecular Life Sciences</w:t>
      </w:r>
      <w:r>
        <w:t>, 67, 1203-1218. doi: 10.1007/s00018-009-0217x</w:t>
      </w:r>
    </w:p>
    <w:p w:rsidR="00F50754" w:rsidRDefault="00F50754" w:rsidP="00BA40E6">
      <w:pPr>
        <w:spacing w:line="480" w:lineRule="auto"/>
        <w:ind w:left="720" w:hanging="720"/>
      </w:pPr>
      <w:r>
        <w:t xml:space="preserve">Rubarth, L. B. (2011). Blood types ABO incompatibility. </w:t>
      </w:r>
      <w:r>
        <w:rPr>
          <w:i/>
        </w:rPr>
        <w:t>30</w:t>
      </w:r>
      <w:r w:rsidRPr="00830113">
        <w:rPr>
          <w:i/>
          <w:vertAlign w:val="superscript"/>
        </w:rPr>
        <w:t>th</w:t>
      </w:r>
      <w:r>
        <w:rPr>
          <w:i/>
        </w:rPr>
        <w:t xml:space="preserve"> Anniversary Neonatal Network, </w:t>
      </w:r>
      <w:r>
        <w:t>30 (1), 50-53. Retrieved from: www.ncbi.nlm.nih.gov/pubmed/21317098.</w:t>
      </w:r>
    </w:p>
    <w:p w:rsidR="00F50754" w:rsidRDefault="00F50754" w:rsidP="00BA40E6">
      <w:pPr>
        <w:spacing w:line="480" w:lineRule="auto"/>
        <w:ind w:left="720" w:hanging="720"/>
      </w:pPr>
      <w:r>
        <w:t xml:space="preserve">Sidmore-Roth, L. (Ed.). (2011). </w:t>
      </w:r>
      <w:r>
        <w:rPr>
          <w:i/>
        </w:rPr>
        <w:t xml:space="preserve">Mosby’s nursing drug reference everything you need to know to administer drugs. </w:t>
      </w:r>
      <w:r>
        <w:t>24</w:t>
      </w:r>
      <w:r w:rsidRPr="007C470D">
        <w:rPr>
          <w:vertAlign w:val="superscript"/>
        </w:rPr>
        <w:t>th</w:t>
      </w:r>
      <w:r>
        <w:t xml:space="preserve"> Edition.  Elsevier Mosby.</w:t>
      </w:r>
    </w:p>
    <w:p w:rsidR="00F50754" w:rsidRDefault="00F50754" w:rsidP="00BA40E6">
      <w:pPr>
        <w:spacing w:line="480" w:lineRule="auto"/>
        <w:ind w:left="720" w:hanging="720"/>
      </w:pPr>
      <w:r>
        <w:t xml:space="preserve">Van Kim, C. L., Colin, Y., Cartron, J. P. (2005). Rh proteins: key structural and functional components of the red cell membrane. </w:t>
      </w:r>
      <w:r>
        <w:rPr>
          <w:i/>
        </w:rPr>
        <w:t xml:space="preserve">Blood Reviews, </w:t>
      </w:r>
      <w:r>
        <w:t xml:space="preserve">20, 93-110.  </w:t>
      </w:r>
      <w:hyperlink r:id="rId6" w:history="1">
        <w:r w:rsidRPr="0006425A">
          <w:rPr>
            <w:rStyle w:val="Hyperlink"/>
          </w:rPr>
          <w:t>www.elsevierhealth.com/journals/bire</w:t>
        </w:r>
      </w:hyperlink>
      <w:r>
        <w:t>. doi: 10.1016/jbire.2005.04.002</w:t>
      </w:r>
    </w:p>
    <w:p w:rsidR="00F50754" w:rsidRPr="007C470D" w:rsidRDefault="00F50754" w:rsidP="00BA40E6">
      <w:pPr>
        <w:spacing w:line="480" w:lineRule="auto"/>
        <w:ind w:left="720" w:hanging="720"/>
      </w:pPr>
      <w:r>
        <w:t>Wissman, J. (Ed.). (2007). M</w:t>
      </w:r>
      <w:r>
        <w:rPr>
          <w:i/>
        </w:rPr>
        <w:t xml:space="preserve">aternal newborn nursing. </w:t>
      </w:r>
      <w:r>
        <w:t>RN Edition 7.1 Content Mastery Series. Assessment Technologies Institute, LLC.</w:t>
      </w:r>
      <w:r>
        <w:rPr>
          <w:i/>
        </w:rPr>
        <w:t xml:space="preserve"> </w:t>
      </w:r>
      <w:r>
        <w:t xml:space="preserve"> </w:t>
      </w:r>
    </w:p>
    <w:p w:rsidR="00F50754" w:rsidRPr="005D683D" w:rsidRDefault="00F50754" w:rsidP="00BA40E6">
      <w:pPr>
        <w:spacing w:line="480" w:lineRule="auto"/>
      </w:pPr>
    </w:p>
    <w:p w:rsidR="00F50754" w:rsidRDefault="00F50754" w:rsidP="00BA40E6">
      <w:pPr>
        <w:spacing w:line="480" w:lineRule="auto"/>
        <w:rPr>
          <w:b/>
        </w:rPr>
      </w:pPr>
      <w:r>
        <w:rPr>
          <w:b/>
        </w:rPr>
        <w:tab/>
      </w:r>
    </w:p>
    <w:p w:rsidR="00F50754" w:rsidRPr="00BE11A0" w:rsidRDefault="00F50754" w:rsidP="00BA40E6">
      <w:pPr>
        <w:spacing w:line="480" w:lineRule="auto"/>
        <w:rPr>
          <w:b/>
        </w:rPr>
      </w:pPr>
      <w:r>
        <w:rPr>
          <w:b/>
        </w:rPr>
        <w:tab/>
      </w:r>
    </w:p>
    <w:p w:rsidR="00F50754" w:rsidRDefault="00F50754" w:rsidP="00BA40E6">
      <w:pPr>
        <w:spacing w:line="480" w:lineRule="auto"/>
      </w:pPr>
    </w:p>
    <w:p w:rsidR="00F50754" w:rsidRDefault="00F50754" w:rsidP="00BA40E6">
      <w:pPr>
        <w:spacing w:line="480" w:lineRule="auto"/>
      </w:pPr>
      <w:r>
        <w:t xml:space="preserve">      </w:t>
      </w:r>
      <w:r w:rsidRPr="006A1542">
        <w:t xml:space="preserve"> </w:t>
      </w:r>
    </w:p>
    <w:sectPr w:rsidR="00F50754" w:rsidSect="00D337C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54" w:rsidRDefault="00F50754" w:rsidP="00D337CF">
      <w:pPr>
        <w:spacing w:after="0" w:line="240" w:lineRule="auto"/>
      </w:pPr>
      <w:r>
        <w:separator/>
      </w:r>
    </w:p>
  </w:endnote>
  <w:endnote w:type="continuationSeparator" w:id="0">
    <w:p w:rsidR="00F50754" w:rsidRDefault="00F50754" w:rsidP="00D33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54" w:rsidRDefault="00F50754" w:rsidP="00D337CF">
      <w:pPr>
        <w:spacing w:after="0" w:line="240" w:lineRule="auto"/>
      </w:pPr>
      <w:r>
        <w:separator/>
      </w:r>
    </w:p>
  </w:footnote>
  <w:footnote w:type="continuationSeparator" w:id="0">
    <w:p w:rsidR="00F50754" w:rsidRDefault="00F50754" w:rsidP="00D33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54" w:rsidRDefault="00F50754">
    <w:pPr>
      <w:pStyle w:val="Header"/>
    </w:pPr>
    <w:r>
      <w:t>BLOOD INCOMPATIBILITIES</w:t>
    </w:r>
    <w:r>
      <w:tab/>
    </w:r>
    <w:r>
      <w:tab/>
    </w:r>
    <w:fldSimple w:instr=" PAGE   \* MERGEFORMAT ">
      <w:r>
        <w:rPr>
          <w:noProof/>
        </w:rPr>
        <w:t>6</w:t>
      </w:r>
    </w:fldSimple>
  </w:p>
  <w:p w:rsidR="00F50754" w:rsidRDefault="00F5075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54" w:rsidRDefault="00F50754">
    <w:pPr>
      <w:pStyle w:val="Header"/>
    </w:pPr>
    <w:r>
      <w:t xml:space="preserve">Running head: BLOOD INCOMPATIBILITIES </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385"/>
    <w:rsid w:val="00054434"/>
    <w:rsid w:val="0006425A"/>
    <w:rsid w:val="0009638A"/>
    <w:rsid w:val="000A1E59"/>
    <w:rsid w:val="000D3393"/>
    <w:rsid w:val="00157D1C"/>
    <w:rsid w:val="001C2984"/>
    <w:rsid w:val="002719FD"/>
    <w:rsid w:val="0029215D"/>
    <w:rsid w:val="002B290D"/>
    <w:rsid w:val="002B4C90"/>
    <w:rsid w:val="00322661"/>
    <w:rsid w:val="00386F2D"/>
    <w:rsid w:val="003B72FE"/>
    <w:rsid w:val="003E5FCD"/>
    <w:rsid w:val="00436573"/>
    <w:rsid w:val="00445767"/>
    <w:rsid w:val="00493755"/>
    <w:rsid w:val="005565B1"/>
    <w:rsid w:val="00575837"/>
    <w:rsid w:val="005906FD"/>
    <w:rsid w:val="005D683D"/>
    <w:rsid w:val="00616863"/>
    <w:rsid w:val="00672B49"/>
    <w:rsid w:val="00673A47"/>
    <w:rsid w:val="006A1542"/>
    <w:rsid w:val="006A424A"/>
    <w:rsid w:val="006F2704"/>
    <w:rsid w:val="0079781F"/>
    <w:rsid w:val="007C2412"/>
    <w:rsid w:val="007C470D"/>
    <w:rsid w:val="00806851"/>
    <w:rsid w:val="00830113"/>
    <w:rsid w:val="0084731A"/>
    <w:rsid w:val="00852385"/>
    <w:rsid w:val="00865254"/>
    <w:rsid w:val="00866727"/>
    <w:rsid w:val="00894793"/>
    <w:rsid w:val="00916626"/>
    <w:rsid w:val="009261D7"/>
    <w:rsid w:val="00927E1D"/>
    <w:rsid w:val="009355C2"/>
    <w:rsid w:val="0094262F"/>
    <w:rsid w:val="00994D81"/>
    <w:rsid w:val="009E2CF9"/>
    <w:rsid w:val="00A521D7"/>
    <w:rsid w:val="00A84DC4"/>
    <w:rsid w:val="00AA1BCB"/>
    <w:rsid w:val="00B62322"/>
    <w:rsid w:val="00BA40E6"/>
    <w:rsid w:val="00BE11A0"/>
    <w:rsid w:val="00D337CF"/>
    <w:rsid w:val="00D36F78"/>
    <w:rsid w:val="00D82988"/>
    <w:rsid w:val="00DD7613"/>
    <w:rsid w:val="00E17DDE"/>
    <w:rsid w:val="00F50754"/>
    <w:rsid w:val="00F86C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FE"/>
    <w:pPr>
      <w:spacing w:after="200" w:line="276"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C470D"/>
    <w:rPr>
      <w:rFonts w:cs="Times New Roman"/>
      <w:color w:val="0000FF"/>
      <w:u w:val="single"/>
    </w:rPr>
  </w:style>
  <w:style w:type="paragraph" w:styleId="Header">
    <w:name w:val="header"/>
    <w:basedOn w:val="Normal"/>
    <w:link w:val="HeaderChar"/>
    <w:uiPriority w:val="99"/>
    <w:rsid w:val="00D337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37CF"/>
    <w:rPr>
      <w:rFonts w:cs="Times New Roman"/>
    </w:rPr>
  </w:style>
  <w:style w:type="paragraph" w:styleId="Footer">
    <w:name w:val="footer"/>
    <w:basedOn w:val="Normal"/>
    <w:link w:val="FooterChar"/>
    <w:uiPriority w:val="99"/>
    <w:rsid w:val="00D337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37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sevierhealth.com/journals/bi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1399</Words>
  <Characters>7977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labuser</cp:lastModifiedBy>
  <cp:revision>3</cp:revision>
  <dcterms:created xsi:type="dcterms:W3CDTF">2011-11-02T16:57:00Z</dcterms:created>
  <dcterms:modified xsi:type="dcterms:W3CDTF">2011-11-02T18:16:00Z</dcterms:modified>
</cp:coreProperties>
</file>