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F08" w:rsidRDefault="00877F08" w:rsidP="00B53894">
      <w:pPr>
        <w:spacing w:after="0"/>
        <w:rPr>
          <w:u w:val="single"/>
        </w:rPr>
      </w:pPr>
    </w:p>
    <w:p w:rsidR="00877F08" w:rsidRDefault="00877F08" w:rsidP="00B53894">
      <w:pPr>
        <w:spacing w:after="0"/>
        <w:rPr>
          <w:u w:val="single"/>
        </w:rPr>
      </w:pPr>
    </w:p>
    <w:p w:rsidR="00877F08" w:rsidRPr="00C37914" w:rsidRDefault="00877F08" w:rsidP="00B53894">
      <w:pPr>
        <w:spacing w:after="0"/>
        <w:rPr>
          <w:color w:val="FF0000"/>
          <w:u w:val="single"/>
        </w:rPr>
      </w:pPr>
    </w:p>
    <w:p w:rsidR="00877F08" w:rsidRPr="00C37914" w:rsidRDefault="00C37914" w:rsidP="00B53894">
      <w:pPr>
        <w:spacing w:after="0"/>
        <w:rPr>
          <w:color w:val="FF0000"/>
        </w:rPr>
      </w:pPr>
      <w:r w:rsidRPr="00C37914">
        <w:rPr>
          <w:color w:val="FF0000"/>
        </w:rPr>
        <w:t xml:space="preserve">14.5/15 </w:t>
      </w:r>
      <w:proofErr w:type="gramStart"/>
      <w:r w:rsidRPr="00C37914">
        <w:rPr>
          <w:color w:val="FF0000"/>
        </w:rPr>
        <w:t>see</w:t>
      </w:r>
      <w:proofErr w:type="gramEnd"/>
      <w:r w:rsidRPr="00C37914">
        <w:rPr>
          <w:color w:val="FF0000"/>
        </w:rPr>
        <w:t xml:space="preserve"> comments and look real close at added commas</w:t>
      </w:r>
    </w:p>
    <w:p w:rsidR="00877F08" w:rsidRDefault="00877F08" w:rsidP="00B53894">
      <w:pPr>
        <w:spacing w:after="0"/>
        <w:rPr>
          <w:u w:val="single"/>
        </w:rPr>
      </w:pPr>
    </w:p>
    <w:p w:rsidR="00877F08" w:rsidRDefault="00877F08" w:rsidP="00B53894">
      <w:pPr>
        <w:spacing w:after="0"/>
        <w:rPr>
          <w:u w:val="single"/>
        </w:rPr>
      </w:pPr>
    </w:p>
    <w:p w:rsidR="00877F08" w:rsidRDefault="00877F08" w:rsidP="00B53894">
      <w:pPr>
        <w:spacing w:after="0"/>
        <w:rPr>
          <w:u w:val="single"/>
        </w:rPr>
      </w:pPr>
    </w:p>
    <w:p w:rsidR="00877F08" w:rsidRDefault="00877F08" w:rsidP="00B53894">
      <w:pPr>
        <w:spacing w:after="0"/>
        <w:rPr>
          <w:u w:val="single"/>
        </w:rPr>
      </w:pPr>
    </w:p>
    <w:p w:rsidR="00877F08" w:rsidRDefault="00877F08" w:rsidP="00B53894">
      <w:pPr>
        <w:spacing w:after="0"/>
        <w:rPr>
          <w:u w:val="single"/>
        </w:rPr>
      </w:pPr>
    </w:p>
    <w:p w:rsidR="00877F08" w:rsidRDefault="00877F08" w:rsidP="00B53894">
      <w:pPr>
        <w:spacing w:after="0"/>
        <w:rPr>
          <w:u w:val="single"/>
        </w:rPr>
      </w:pPr>
    </w:p>
    <w:p w:rsidR="00877F08" w:rsidRDefault="00877F08" w:rsidP="00B53894">
      <w:pPr>
        <w:spacing w:after="0"/>
        <w:jc w:val="center"/>
      </w:pPr>
      <w:r>
        <w:t>Case Study #5</w:t>
      </w:r>
    </w:p>
    <w:p w:rsidR="00877F08" w:rsidRDefault="00877F08" w:rsidP="00B53894">
      <w:pPr>
        <w:spacing w:after="0"/>
        <w:jc w:val="center"/>
      </w:pPr>
      <w:r>
        <w:t>Breana M. Bushur</w:t>
      </w:r>
    </w:p>
    <w:p w:rsidR="00877F08" w:rsidRDefault="00877F08" w:rsidP="00B53894">
      <w:pPr>
        <w:spacing w:after="0"/>
        <w:jc w:val="center"/>
      </w:pPr>
      <w:r>
        <w:t>Lakeview College of Nursing</w:t>
      </w:r>
    </w:p>
    <w:p w:rsidR="00877F08" w:rsidRDefault="00877F08" w:rsidP="00B53894">
      <w:pPr>
        <w:spacing w:after="0"/>
        <w:jc w:val="center"/>
      </w:pPr>
      <w:r>
        <w:t>N210</w:t>
      </w:r>
    </w:p>
    <w:p w:rsidR="00877F08" w:rsidRDefault="00877F08" w:rsidP="00B53894">
      <w:pPr>
        <w:spacing w:after="0"/>
        <w:jc w:val="center"/>
      </w:pPr>
      <w:r>
        <w:t>February 18, 2012</w:t>
      </w:r>
    </w:p>
    <w:p w:rsidR="00877F08" w:rsidRDefault="00877F08" w:rsidP="00B53894">
      <w:pPr>
        <w:spacing w:after="0"/>
        <w:jc w:val="center"/>
      </w:pPr>
    </w:p>
    <w:p w:rsidR="00877F08" w:rsidRDefault="00877F08" w:rsidP="00B53894">
      <w:pPr>
        <w:spacing w:after="0"/>
        <w:jc w:val="center"/>
      </w:pPr>
    </w:p>
    <w:p w:rsidR="00877F08" w:rsidRDefault="00877F08" w:rsidP="00B53894">
      <w:pPr>
        <w:spacing w:after="0"/>
        <w:jc w:val="center"/>
      </w:pPr>
    </w:p>
    <w:p w:rsidR="00877F08" w:rsidRDefault="00877F08" w:rsidP="00B53894">
      <w:pPr>
        <w:spacing w:after="0"/>
        <w:jc w:val="center"/>
      </w:pPr>
    </w:p>
    <w:p w:rsidR="00877F08" w:rsidRDefault="00877F08" w:rsidP="00B53894">
      <w:pPr>
        <w:spacing w:after="0"/>
        <w:jc w:val="center"/>
      </w:pPr>
    </w:p>
    <w:p w:rsidR="00877F08" w:rsidRDefault="00877F08" w:rsidP="00B53894">
      <w:pPr>
        <w:spacing w:after="0"/>
        <w:jc w:val="center"/>
      </w:pPr>
    </w:p>
    <w:p w:rsidR="00877F08" w:rsidRDefault="00877F08" w:rsidP="00B53894">
      <w:pPr>
        <w:spacing w:after="0"/>
        <w:jc w:val="center"/>
      </w:pPr>
    </w:p>
    <w:p w:rsidR="00877F08" w:rsidRDefault="00877F08" w:rsidP="00B53894">
      <w:pPr>
        <w:spacing w:after="0"/>
        <w:jc w:val="center"/>
      </w:pPr>
    </w:p>
    <w:p w:rsidR="00877F08" w:rsidRDefault="00877F08" w:rsidP="00B53894">
      <w:pPr>
        <w:spacing w:after="0"/>
        <w:jc w:val="center"/>
      </w:pPr>
      <w:r>
        <w:lastRenderedPageBreak/>
        <w:t>Case Study #5</w:t>
      </w:r>
    </w:p>
    <w:p w:rsidR="00877F08" w:rsidRDefault="009021E5" w:rsidP="00B53894">
      <w:pPr>
        <w:spacing w:after="0"/>
        <w:rPr>
          <w:b/>
        </w:rPr>
      </w:pPr>
      <w:proofErr w:type="gramStart"/>
      <w:r>
        <w:rPr>
          <w:b/>
        </w:rPr>
        <w:t xml:space="preserve">1. Compare and contrast the definitions for frailty, disability, and </w:t>
      </w:r>
      <w:proofErr w:type="spellStart"/>
      <w:r>
        <w:rPr>
          <w:b/>
        </w:rPr>
        <w:t>comorbidity</w:t>
      </w:r>
      <w:proofErr w:type="spellEnd"/>
      <w:r>
        <w:rPr>
          <w:b/>
        </w:rPr>
        <w:t>.</w:t>
      </w:r>
      <w:proofErr w:type="gramEnd"/>
    </w:p>
    <w:p w:rsidR="003A1F8D" w:rsidRDefault="00790EED" w:rsidP="00B53894">
      <w:pPr>
        <w:spacing w:after="0"/>
      </w:pPr>
      <w:r>
        <w:rPr>
          <w:b/>
        </w:rPr>
        <w:tab/>
      </w:r>
      <w:r w:rsidRPr="00790EED">
        <w:t xml:space="preserve">According to the Hartford Institute for Geriatric Nursing, </w:t>
      </w:r>
    </w:p>
    <w:p w:rsidR="00790EED" w:rsidRPr="00790EED" w:rsidRDefault="00790EED" w:rsidP="00B53894">
      <w:pPr>
        <w:spacing w:after="0"/>
        <w:ind w:left="1440"/>
      </w:pPr>
      <w:r w:rsidRPr="00790EED">
        <w:t xml:space="preserve">“The terms frailty, disability, and </w:t>
      </w:r>
      <w:proofErr w:type="spellStart"/>
      <w:r w:rsidRPr="00790EED">
        <w:t>comorbidity</w:t>
      </w:r>
      <w:proofErr w:type="spellEnd"/>
      <w:r w:rsidRPr="00790EED">
        <w:t xml:space="preserve"> interrelate and over-lap. Frailty is often confused with disability and/or </w:t>
      </w:r>
      <w:proofErr w:type="spellStart"/>
      <w:r w:rsidRPr="00790EED">
        <w:t>comorbidity</w:t>
      </w:r>
      <w:proofErr w:type="spellEnd"/>
      <w:r w:rsidRPr="00790EED">
        <w:t xml:space="preserve">. Frailty is the manifestation of changes in the physiological state of a person and the inability to maintain homeostasis. </w:t>
      </w:r>
      <w:proofErr w:type="spellStart"/>
      <w:r w:rsidRPr="00790EED">
        <w:t>Comorbidity</w:t>
      </w:r>
      <w:proofErr w:type="spellEnd"/>
      <w:r w:rsidRPr="00790EED">
        <w:t xml:space="preserve"> refers to the occurrence of two or more distinguishably different disease processes in a person. </w:t>
      </w:r>
      <w:proofErr w:type="gramStart"/>
      <w:r w:rsidRPr="00790EED">
        <w:t>Disability relates to the inability to carry</w:t>
      </w:r>
      <w:r w:rsidR="003A1F8D">
        <w:t xml:space="preserve"> out activities of daily living” (</w:t>
      </w:r>
      <w:proofErr w:type="spellStart"/>
      <w:r w:rsidR="003A1F8D">
        <w:t>Benefield</w:t>
      </w:r>
      <w:proofErr w:type="spellEnd"/>
      <w:r w:rsidR="00C37914">
        <w:rPr>
          <w:color w:val="FF0000"/>
        </w:rPr>
        <w:t>,</w:t>
      </w:r>
      <w:r w:rsidR="003A1F8D">
        <w:t xml:space="preserve"> &amp; </w:t>
      </w:r>
      <w:proofErr w:type="spellStart"/>
      <w:r w:rsidR="003A1F8D">
        <w:t>Higbee</w:t>
      </w:r>
      <w:proofErr w:type="spellEnd"/>
      <w:r w:rsidR="003A1F8D">
        <w:t xml:space="preserve">, </w:t>
      </w:r>
      <w:commentRangeStart w:id="0"/>
      <w:r w:rsidR="003A1F8D">
        <w:t>2007</w:t>
      </w:r>
      <w:commentRangeEnd w:id="0"/>
      <w:r w:rsidR="002316D2">
        <w:rPr>
          <w:rStyle w:val="CommentReference"/>
        </w:rPr>
        <w:commentReference w:id="0"/>
      </w:r>
      <w:r w:rsidR="003A1F8D">
        <w:t>).</w:t>
      </w:r>
      <w:proofErr w:type="gramEnd"/>
    </w:p>
    <w:p w:rsidR="009021E5" w:rsidRDefault="009021E5" w:rsidP="00B53894">
      <w:pPr>
        <w:spacing w:after="0"/>
        <w:rPr>
          <w:b/>
        </w:rPr>
      </w:pPr>
      <w:r>
        <w:rPr>
          <w:b/>
        </w:rPr>
        <w:t>2. Explain why frailty is considered a syndrome</w:t>
      </w:r>
    </w:p>
    <w:p w:rsidR="00790EED" w:rsidRPr="002C415F" w:rsidRDefault="003A1F8D" w:rsidP="00B53894">
      <w:pPr>
        <w:spacing w:after="0"/>
      </w:pPr>
      <w:r>
        <w:rPr>
          <w:b/>
        </w:rPr>
        <w:tab/>
      </w:r>
      <w:r w:rsidR="002C415F">
        <w:t xml:space="preserve">Frailty is a syndrome considering how it can be brought up by different physiological </w:t>
      </w:r>
      <w:r w:rsidR="002C415F" w:rsidRPr="002C415F">
        <w:t xml:space="preserve">factors along with psychological factors. </w:t>
      </w:r>
      <w:proofErr w:type="gramStart"/>
      <w:r w:rsidR="002C415F" w:rsidRPr="002C415F">
        <w:t>“Frailty is a syndrome associated with reduced functional reserve, impairment in multiple physiological systems, and reduced ability to r</w:t>
      </w:r>
      <w:r w:rsidR="002C415F">
        <w:t>egain physiological homeostasis” (</w:t>
      </w:r>
      <w:proofErr w:type="spellStart"/>
      <w:r w:rsidR="002C415F">
        <w:t>Benefield</w:t>
      </w:r>
      <w:proofErr w:type="spellEnd"/>
      <w:r w:rsidR="002316D2">
        <w:rPr>
          <w:color w:val="FF0000"/>
        </w:rPr>
        <w:t>,</w:t>
      </w:r>
      <w:r w:rsidR="002C415F">
        <w:t xml:space="preserve"> &amp; </w:t>
      </w:r>
      <w:proofErr w:type="spellStart"/>
      <w:r w:rsidR="002C415F">
        <w:t>Higbee</w:t>
      </w:r>
      <w:proofErr w:type="spellEnd"/>
      <w:r w:rsidR="002C415F">
        <w:t xml:space="preserve">, </w:t>
      </w:r>
      <w:commentRangeStart w:id="1"/>
      <w:r w:rsidR="002C415F">
        <w:t>2007</w:t>
      </w:r>
      <w:commentRangeEnd w:id="1"/>
      <w:r w:rsidR="002316D2">
        <w:rPr>
          <w:rStyle w:val="CommentReference"/>
        </w:rPr>
        <w:commentReference w:id="1"/>
      </w:r>
      <w:r w:rsidR="002C415F">
        <w:t>).</w:t>
      </w:r>
      <w:proofErr w:type="gramEnd"/>
      <w:r w:rsidR="002C415F">
        <w:t xml:space="preserve"> </w:t>
      </w:r>
    </w:p>
    <w:p w:rsidR="009021E5" w:rsidRDefault="009021E5" w:rsidP="00B53894">
      <w:pPr>
        <w:spacing w:after="0"/>
        <w:rPr>
          <w:b/>
        </w:rPr>
      </w:pPr>
      <w:r>
        <w:rPr>
          <w:b/>
        </w:rPr>
        <w:t>3. View the frailty assessment tool and determine Mrs. Gibson’s actual sore.</w:t>
      </w:r>
    </w:p>
    <w:p w:rsidR="00B53894" w:rsidRDefault="001A6B79" w:rsidP="00B53894">
      <w:pPr>
        <w:spacing w:after="0"/>
        <w:ind w:firstLine="720"/>
        <w:rPr>
          <w:rFonts w:eastAsia="Times New Roman"/>
        </w:rPr>
      </w:pPr>
      <w:r>
        <w:t xml:space="preserve">According to the Hartford Institute for Geriatric </w:t>
      </w:r>
      <w:r w:rsidRPr="001A6B79">
        <w:t>Nursing, “Frailty is recognized by a constellation of signs and symptoms including weight loss, fatigue, muscle weakness, slow or unsteady gait declines in activity</w:t>
      </w:r>
      <w:r>
        <w:t>” (</w:t>
      </w:r>
      <w:proofErr w:type="spellStart"/>
      <w:r>
        <w:t>Benefield</w:t>
      </w:r>
      <w:proofErr w:type="spellEnd"/>
      <w:r w:rsidR="002316D2">
        <w:rPr>
          <w:color w:val="FF0000"/>
        </w:rPr>
        <w:t>,</w:t>
      </w:r>
      <w:r>
        <w:t xml:space="preserve"> &amp; </w:t>
      </w:r>
      <w:proofErr w:type="spellStart"/>
      <w:r>
        <w:t>Higbee</w:t>
      </w:r>
      <w:proofErr w:type="spellEnd"/>
      <w:r>
        <w:t xml:space="preserve">, </w:t>
      </w:r>
      <w:commentRangeStart w:id="2"/>
      <w:r>
        <w:t>2007</w:t>
      </w:r>
      <w:commentRangeEnd w:id="2"/>
      <w:r w:rsidR="002316D2">
        <w:rPr>
          <w:rStyle w:val="CommentReference"/>
        </w:rPr>
        <w:commentReference w:id="2"/>
      </w:r>
      <w:r>
        <w:t xml:space="preserve">). </w:t>
      </w:r>
      <w:r w:rsidR="004E7B74">
        <w:t xml:space="preserve">There is a screening tool that measures a person’s frailty level. By looking at the Harford Institute screen tool, </w:t>
      </w:r>
      <w:r w:rsidR="00B53894">
        <w:t>Mrs. Gibson had a score of two by being in the exhaustion and shrinking stages of pre-frailty. According to Hartford Institute, “</w:t>
      </w:r>
      <w:r w:rsidR="00B53894">
        <w:rPr>
          <w:rFonts w:eastAsia="Times New Roman"/>
        </w:rPr>
        <w:t>t</w:t>
      </w:r>
      <w:r w:rsidR="00B53894" w:rsidRPr="00B53894">
        <w:rPr>
          <w:rFonts w:eastAsia="Times New Roman"/>
        </w:rPr>
        <w:t xml:space="preserve">he presence of three or more components identifies a person as being frail. Scoring is as follows: 0 = robust, 1-2 = intermediate or pre-frail, and =3 = frail. Components </w:t>
      </w:r>
      <w:r w:rsidR="00B53894" w:rsidRPr="00B53894">
        <w:rPr>
          <w:rFonts w:eastAsia="Times New Roman"/>
        </w:rPr>
        <w:lastRenderedPageBreak/>
        <w:t>include: Shrinking: unintentional weight loss of 10 pounds or more in the past year. </w:t>
      </w:r>
      <w:proofErr w:type="gramStart"/>
      <w:r w:rsidR="00B53894" w:rsidRPr="00B53894">
        <w:rPr>
          <w:rFonts w:eastAsia="Times New Roman"/>
        </w:rPr>
        <w:t>Exhaustion: lack of energy or vigor, or the pres</w:t>
      </w:r>
      <w:r w:rsidR="00B53894">
        <w:rPr>
          <w:rFonts w:eastAsia="Times New Roman"/>
        </w:rPr>
        <w:t>ence of fatigue and tiredness” (</w:t>
      </w:r>
      <w:proofErr w:type="spellStart"/>
      <w:r w:rsidR="00B53894">
        <w:rPr>
          <w:rFonts w:eastAsia="Times New Roman"/>
        </w:rPr>
        <w:t>Benefield</w:t>
      </w:r>
      <w:proofErr w:type="spellEnd"/>
      <w:r w:rsidR="002316D2">
        <w:rPr>
          <w:rFonts w:eastAsia="Times New Roman"/>
          <w:color w:val="FF0000"/>
        </w:rPr>
        <w:t>,</w:t>
      </w:r>
      <w:r w:rsidR="00B53894">
        <w:rPr>
          <w:rFonts w:eastAsia="Times New Roman"/>
        </w:rPr>
        <w:t xml:space="preserve"> &amp; </w:t>
      </w:r>
      <w:proofErr w:type="spellStart"/>
      <w:r w:rsidR="00B53894">
        <w:rPr>
          <w:rFonts w:eastAsia="Times New Roman"/>
        </w:rPr>
        <w:t>Higbee</w:t>
      </w:r>
      <w:proofErr w:type="spellEnd"/>
      <w:r w:rsidR="00B53894">
        <w:rPr>
          <w:rFonts w:eastAsia="Times New Roman"/>
        </w:rPr>
        <w:t xml:space="preserve">, </w:t>
      </w:r>
      <w:commentRangeStart w:id="3"/>
      <w:r w:rsidR="00B53894">
        <w:rPr>
          <w:rFonts w:eastAsia="Times New Roman"/>
        </w:rPr>
        <w:t>2007</w:t>
      </w:r>
      <w:commentRangeEnd w:id="3"/>
      <w:r w:rsidR="002316D2">
        <w:rPr>
          <w:rStyle w:val="CommentReference"/>
        </w:rPr>
        <w:commentReference w:id="3"/>
      </w:r>
      <w:r w:rsidR="00B53894">
        <w:rPr>
          <w:rFonts w:eastAsia="Times New Roman"/>
        </w:rPr>
        <w:t>).</w:t>
      </w:r>
      <w:proofErr w:type="gramEnd"/>
    </w:p>
    <w:p w:rsidR="009021E5" w:rsidRDefault="009021E5" w:rsidP="00B53894">
      <w:pPr>
        <w:spacing w:after="0"/>
        <w:rPr>
          <w:b/>
        </w:rPr>
      </w:pPr>
      <w:r>
        <w:rPr>
          <w:b/>
        </w:rPr>
        <w:t>4. Differentiate primary versus secondary frailty.</w:t>
      </w:r>
    </w:p>
    <w:p w:rsidR="00B53894" w:rsidRPr="00B53894" w:rsidRDefault="00B53894" w:rsidP="00B53894">
      <w:pPr>
        <w:spacing w:after="0"/>
      </w:pPr>
      <w:r w:rsidRPr="00B53894">
        <w:rPr>
          <w:b/>
        </w:rPr>
        <w:tab/>
      </w:r>
      <w:proofErr w:type="gramStart"/>
      <w:r>
        <w:t>According to the Hartford Institute, “p</w:t>
      </w:r>
      <w:r w:rsidRPr="00B53894">
        <w:t>rimary frailty has no underlying, pathological causative factors, whereas secondary frailty originates from underlying,</w:t>
      </w:r>
      <w:r>
        <w:t xml:space="preserve"> pathological causative factors” (</w:t>
      </w:r>
      <w:proofErr w:type="spellStart"/>
      <w:r>
        <w:t>Benefield</w:t>
      </w:r>
      <w:proofErr w:type="spellEnd"/>
      <w:r w:rsidR="002316D2">
        <w:rPr>
          <w:color w:val="FF0000"/>
        </w:rPr>
        <w:t>,</w:t>
      </w:r>
      <w:r>
        <w:t xml:space="preserve"> &amp; </w:t>
      </w:r>
      <w:proofErr w:type="spellStart"/>
      <w:r>
        <w:t>Higbee</w:t>
      </w:r>
      <w:proofErr w:type="spellEnd"/>
      <w:r>
        <w:t xml:space="preserve">, </w:t>
      </w:r>
      <w:commentRangeStart w:id="4"/>
      <w:r>
        <w:t>2007</w:t>
      </w:r>
      <w:commentRangeEnd w:id="4"/>
      <w:r w:rsidR="002316D2">
        <w:rPr>
          <w:rStyle w:val="CommentReference"/>
        </w:rPr>
        <w:commentReference w:id="4"/>
      </w:r>
      <w:r>
        <w:t>).</w:t>
      </w:r>
      <w:proofErr w:type="gramEnd"/>
      <w:r>
        <w:t xml:space="preserve"> </w:t>
      </w:r>
    </w:p>
    <w:p w:rsidR="009021E5" w:rsidRDefault="009021E5" w:rsidP="00B53894">
      <w:pPr>
        <w:spacing w:after="0"/>
        <w:rPr>
          <w:b/>
        </w:rPr>
      </w:pPr>
      <w:r>
        <w:rPr>
          <w:b/>
        </w:rPr>
        <w:t>5. What criteria comprise the six physiologic-based risk factors for frailty?</w:t>
      </w:r>
    </w:p>
    <w:p w:rsidR="001D7078" w:rsidRPr="00637A7B" w:rsidRDefault="001D7078" w:rsidP="00B53894">
      <w:pPr>
        <w:spacing w:after="0"/>
      </w:pPr>
      <w:r>
        <w:rPr>
          <w:b/>
        </w:rPr>
        <w:tab/>
      </w:r>
      <w:r w:rsidR="00637A7B">
        <w:t xml:space="preserve">According to </w:t>
      </w:r>
      <w:proofErr w:type="spellStart"/>
      <w:r w:rsidR="00637A7B">
        <w:t>Epinoza</w:t>
      </w:r>
      <w:proofErr w:type="spellEnd"/>
      <w:r w:rsidR="00637A7B">
        <w:t xml:space="preserve"> and Fried, “continuing research suggests the frailty is a distinct physiologic entity with characteristic changes in physiology, including </w:t>
      </w:r>
      <w:r w:rsidR="0032593C">
        <w:t xml:space="preserve">age, </w:t>
      </w:r>
      <w:r w:rsidR="00637A7B">
        <w:t xml:space="preserve">activated inflammation, </w:t>
      </w:r>
      <w:r w:rsidR="00637A7B" w:rsidRPr="002316D2">
        <w:t>decreased</w:t>
      </w:r>
      <w:r w:rsidR="00637A7B">
        <w:t xml:space="preserve"> immune function, anemia, endocrine system alterations, and muscular alterations” (</w:t>
      </w:r>
      <w:proofErr w:type="spellStart"/>
      <w:r w:rsidR="00637A7B">
        <w:t>Epinoza</w:t>
      </w:r>
      <w:proofErr w:type="spellEnd"/>
      <w:r w:rsidR="002316D2" w:rsidRPr="002316D2">
        <w:rPr>
          <w:color w:val="FF0000"/>
        </w:rPr>
        <w:t>, &amp;</w:t>
      </w:r>
      <w:r w:rsidR="00637A7B">
        <w:t xml:space="preserve"> Fried, </w:t>
      </w:r>
      <w:commentRangeStart w:id="5"/>
      <w:r w:rsidR="00637A7B">
        <w:t>2007</w:t>
      </w:r>
      <w:commentRangeEnd w:id="5"/>
      <w:r w:rsidR="002316D2">
        <w:rPr>
          <w:rStyle w:val="CommentReference"/>
        </w:rPr>
        <w:commentReference w:id="5"/>
      </w:r>
      <w:r w:rsidR="00637A7B">
        <w:t>). These factors are hard to prevent since they are all normal changes in aging.</w:t>
      </w:r>
    </w:p>
    <w:p w:rsidR="009021E5" w:rsidRDefault="009021E5" w:rsidP="00B53894">
      <w:pPr>
        <w:spacing w:after="0"/>
        <w:rPr>
          <w:b/>
        </w:rPr>
      </w:pPr>
      <w:r>
        <w:rPr>
          <w:b/>
        </w:rPr>
        <w:t xml:space="preserve">6. Discuss the </w:t>
      </w:r>
      <w:proofErr w:type="spellStart"/>
      <w:r>
        <w:rPr>
          <w:b/>
        </w:rPr>
        <w:t>sociodemographic</w:t>
      </w:r>
      <w:proofErr w:type="spellEnd"/>
      <w:r>
        <w:rPr>
          <w:b/>
        </w:rPr>
        <w:t xml:space="preserve"> and psychological risk factors presented in the article.</w:t>
      </w:r>
    </w:p>
    <w:p w:rsidR="00FB58FA" w:rsidRPr="00545709" w:rsidRDefault="00FB58FA" w:rsidP="00B53894">
      <w:pPr>
        <w:spacing w:after="0"/>
      </w:pPr>
      <w:r>
        <w:rPr>
          <w:b/>
        </w:rPr>
        <w:tab/>
      </w:r>
      <w:r w:rsidR="00545709">
        <w:t xml:space="preserve">The four risk </w:t>
      </w:r>
      <w:proofErr w:type="spellStart"/>
      <w:r w:rsidR="00545709">
        <w:t>sociodemographic</w:t>
      </w:r>
      <w:proofErr w:type="spellEnd"/>
      <w:r w:rsidR="00545709">
        <w:t xml:space="preserve"> and psychological risk factors are female gender, low socioeconomic status, race/ethnicity, and depression.</w:t>
      </w:r>
      <w:r w:rsidR="00B02E4E">
        <w:t xml:space="preserve"> </w:t>
      </w:r>
      <w:proofErr w:type="spellStart"/>
      <w:r w:rsidR="00B02E4E">
        <w:t>Sacropenia</w:t>
      </w:r>
      <w:proofErr w:type="spellEnd"/>
      <w:r w:rsidR="00B02E4E">
        <w:t xml:space="preserve"> in women may relate to being more a risk with frailty since they have less muscle mass compared to older men (</w:t>
      </w:r>
      <w:proofErr w:type="spellStart"/>
      <w:r w:rsidR="00B02E4E">
        <w:t>Epinoza</w:t>
      </w:r>
      <w:proofErr w:type="spellEnd"/>
      <w:r w:rsidR="002316D2">
        <w:rPr>
          <w:color w:val="FF0000"/>
        </w:rPr>
        <w:t>, &amp;</w:t>
      </w:r>
      <w:r w:rsidR="00B02E4E">
        <w:t xml:space="preserve"> Fried, 2007). There is a correlation between low education levels and higher risk for frailty as well. People who are depressed lead to a higher risk of developing frailty which correlates with certain races/ethnicity since some races have higher incidences of depression (</w:t>
      </w:r>
      <w:proofErr w:type="spellStart"/>
      <w:r w:rsidR="00B02E4E">
        <w:t>Epinoza</w:t>
      </w:r>
      <w:proofErr w:type="spellEnd"/>
      <w:r w:rsidR="002316D2">
        <w:rPr>
          <w:color w:val="FF0000"/>
        </w:rPr>
        <w:t>, &amp;</w:t>
      </w:r>
      <w:r w:rsidR="00B02E4E">
        <w:t xml:space="preserve"> Fried).</w:t>
      </w:r>
    </w:p>
    <w:p w:rsidR="009021E5" w:rsidRDefault="009021E5" w:rsidP="00B53894">
      <w:pPr>
        <w:spacing w:after="0"/>
        <w:rPr>
          <w:b/>
        </w:rPr>
      </w:pPr>
      <w:r>
        <w:rPr>
          <w:b/>
        </w:rPr>
        <w:t>7. Which of the risk factors reviewed for frailty would not be modifiable?</w:t>
      </w:r>
    </w:p>
    <w:p w:rsidR="009B2D8D" w:rsidRPr="002316D2" w:rsidRDefault="004F0EFC" w:rsidP="00B53894">
      <w:pPr>
        <w:spacing w:after="0"/>
        <w:rPr>
          <w:color w:val="FF0000"/>
        </w:rPr>
      </w:pPr>
      <w:r>
        <w:rPr>
          <w:b/>
        </w:rPr>
        <w:tab/>
      </w:r>
      <w:r>
        <w:t>Looking at the psychological/</w:t>
      </w:r>
      <w:proofErr w:type="spellStart"/>
      <w:r>
        <w:t>sociodemographic</w:t>
      </w:r>
      <w:proofErr w:type="spellEnd"/>
      <w:r>
        <w:t xml:space="preserve"> factors and the physiological factors, it is evident that the physiological factors cannot change as easily as the psychological factors. </w:t>
      </w:r>
      <w:r>
        <w:lastRenderedPageBreak/>
        <w:t>Physiological factors occur in the body without our control while the other factors are controlled by our mind and actions.</w:t>
      </w:r>
      <w:r w:rsidR="002316D2">
        <w:t xml:space="preserve">  </w:t>
      </w:r>
      <w:r w:rsidR="002316D2">
        <w:rPr>
          <w:color w:val="FF0000"/>
        </w:rPr>
        <w:t>Cite source</w:t>
      </w:r>
    </w:p>
    <w:p w:rsidR="002316D2" w:rsidRPr="002316D2" w:rsidRDefault="002316D2" w:rsidP="00B53894">
      <w:pPr>
        <w:spacing w:after="0"/>
        <w:rPr>
          <w:color w:val="FF0000"/>
        </w:rPr>
      </w:pPr>
      <w:r w:rsidRPr="002316D2">
        <w:rPr>
          <w:color w:val="FF0000"/>
        </w:rPr>
        <w:t xml:space="preserve"> </w:t>
      </w:r>
      <w:r w:rsidRPr="002316D2">
        <w:rPr>
          <w:rFonts w:ascii="ITCGaramondStd-Bk" w:hAnsi="ITCGaramondStd-Bk" w:cs="ITCGaramondStd-Bk"/>
          <w:color w:val="FF0000"/>
          <w:sz w:val="20"/>
          <w:szCs w:val="20"/>
        </w:rPr>
        <w:t>Gender, race, age, and socioeconomic status</w:t>
      </w:r>
    </w:p>
    <w:p w:rsidR="009021E5" w:rsidRDefault="009021E5" w:rsidP="00877F08">
      <w:pPr>
        <w:spacing w:after="0"/>
        <w:rPr>
          <w:b/>
        </w:rPr>
      </w:pPr>
      <w:r>
        <w:rPr>
          <w:b/>
        </w:rPr>
        <w:t>8. Nutritional supplements as an alternative medicine intervention for frailty includes the following:</w:t>
      </w:r>
    </w:p>
    <w:p w:rsidR="009B2D8D" w:rsidRPr="002316D2" w:rsidRDefault="002C415F" w:rsidP="00877F08">
      <w:pPr>
        <w:spacing w:after="0"/>
        <w:rPr>
          <w:color w:val="FF0000"/>
        </w:rPr>
      </w:pPr>
      <w:r>
        <w:rPr>
          <w:b/>
        </w:rPr>
        <w:tab/>
      </w:r>
      <w:r w:rsidR="009537C4">
        <w:t xml:space="preserve">According to </w:t>
      </w:r>
      <w:proofErr w:type="spellStart"/>
      <w:r w:rsidR="009537C4">
        <w:t>Cherniack</w:t>
      </w:r>
      <w:proofErr w:type="spellEnd"/>
      <w:r w:rsidR="009537C4">
        <w:t xml:space="preserve">, </w:t>
      </w:r>
      <w:proofErr w:type="spellStart"/>
      <w:r w:rsidR="009537C4">
        <w:t>carotenoids</w:t>
      </w:r>
      <w:proofErr w:type="spellEnd"/>
      <w:r w:rsidR="009537C4">
        <w:t xml:space="preserve">, vitamin D, </w:t>
      </w:r>
      <w:proofErr w:type="spellStart"/>
      <w:r w:rsidR="009537C4">
        <w:t>creatine</w:t>
      </w:r>
      <w:proofErr w:type="spellEnd"/>
      <w:r w:rsidR="009537C4">
        <w:t>, and DHEA are all nutritional supplements as an alternative medicine intervention for frailty.</w:t>
      </w:r>
      <w:r w:rsidR="00B95EE0">
        <w:t xml:space="preserve"> </w:t>
      </w:r>
    </w:p>
    <w:p w:rsidR="009021E5" w:rsidRDefault="009021E5" w:rsidP="00877F08">
      <w:pPr>
        <w:spacing w:after="0"/>
        <w:rPr>
          <w:b/>
        </w:rPr>
      </w:pPr>
      <w:r>
        <w:rPr>
          <w:b/>
        </w:rPr>
        <w:t xml:space="preserve">9. </w:t>
      </w:r>
      <w:proofErr w:type="gramStart"/>
      <w:r>
        <w:rPr>
          <w:b/>
        </w:rPr>
        <w:t>Using</w:t>
      </w:r>
      <w:proofErr w:type="gramEnd"/>
      <w:r>
        <w:rPr>
          <w:b/>
        </w:rPr>
        <w:t xml:space="preserve"> the same internet source, discuss how tai chi may be an appropriate intervention</w:t>
      </w:r>
    </w:p>
    <w:p w:rsidR="009B2D8D" w:rsidRPr="009B2D8D" w:rsidRDefault="009B2D8D" w:rsidP="00877F08">
      <w:pPr>
        <w:spacing w:after="0"/>
      </w:pPr>
      <w:r>
        <w:rPr>
          <w:b/>
        </w:rPr>
        <w:tab/>
      </w:r>
      <w:proofErr w:type="gramStart"/>
      <w:r w:rsidR="00236908">
        <w:t xml:space="preserve">According to the Hartford Institute of </w:t>
      </w:r>
      <w:r w:rsidR="00236908" w:rsidRPr="00236908">
        <w:t>Geriatric Nursing, “Tai chi is a slow and gentle exercise regime that involves both physical movement and meditati</w:t>
      </w:r>
      <w:r w:rsidR="00236908">
        <w:t>on to improve balance and gait” (</w:t>
      </w:r>
      <w:proofErr w:type="spellStart"/>
      <w:r w:rsidR="00236908">
        <w:t>Benefield</w:t>
      </w:r>
      <w:proofErr w:type="spellEnd"/>
      <w:r w:rsidR="002316D2">
        <w:rPr>
          <w:color w:val="FF0000"/>
        </w:rPr>
        <w:t>,</w:t>
      </w:r>
      <w:r w:rsidR="00236908">
        <w:t xml:space="preserve"> &amp; </w:t>
      </w:r>
      <w:proofErr w:type="spellStart"/>
      <w:r w:rsidR="00236908">
        <w:t>Higbee</w:t>
      </w:r>
      <w:proofErr w:type="spellEnd"/>
      <w:r w:rsidR="00236908">
        <w:t xml:space="preserve">, </w:t>
      </w:r>
      <w:commentRangeStart w:id="6"/>
      <w:r w:rsidR="00236908">
        <w:t>2007</w:t>
      </w:r>
      <w:commentRangeEnd w:id="6"/>
      <w:r w:rsidR="002316D2">
        <w:rPr>
          <w:rStyle w:val="CommentReference"/>
        </w:rPr>
        <w:commentReference w:id="6"/>
      </w:r>
      <w:r w:rsidR="00236908">
        <w:t>).</w:t>
      </w:r>
      <w:proofErr w:type="gramEnd"/>
      <w:r w:rsidR="00236908">
        <w:t xml:space="preserve"> This would be a great intervention to use on a frail patient because it is slow and gentle and not as exhausting for those patients. Improving the balance and gait will help the frail person to be more confident and independent.</w:t>
      </w:r>
    </w:p>
    <w:p w:rsidR="009021E5" w:rsidRDefault="009021E5" w:rsidP="00877F08">
      <w:pPr>
        <w:spacing w:after="0"/>
        <w:rPr>
          <w:b/>
        </w:rPr>
      </w:pPr>
      <w:r>
        <w:rPr>
          <w:b/>
        </w:rPr>
        <w:t>10. What are specific examples used in facilities/agencies which implement universal design?</w:t>
      </w:r>
    </w:p>
    <w:p w:rsidR="00840CE9" w:rsidRDefault="00840CE9" w:rsidP="00877F08">
      <w:pPr>
        <w:spacing w:after="0"/>
      </w:pPr>
      <w:r>
        <w:rPr>
          <w:b/>
        </w:rPr>
        <w:tab/>
      </w:r>
      <w:r w:rsidR="00EF33B3" w:rsidRPr="00EF33B3">
        <w:t>The best way to achieve universal design is to modify the environment of the frail person. According to Hartford Institute, “Modify the living environment to enhance opportunities for independence and self-reliance. These interventions include grab bars, walk in showers with shower seats, counter and cabinet height adjustments, wide doorways, contrasting colors of counters, floors, walls, and dishes, non-slip surfaces, ramps, proper lighting, and emergency ca</w:t>
      </w:r>
      <w:r w:rsidR="00EF33B3">
        <w:t>ll systems” (</w:t>
      </w:r>
      <w:proofErr w:type="spellStart"/>
      <w:r w:rsidR="00EF33B3">
        <w:t>Benefield</w:t>
      </w:r>
      <w:proofErr w:type="spellEnd"/>
      <w:r w:rsidR="002316D2">
        <w:rPr>
          <w:color w:val="FF0000"/>
        </w:rPr>
        <w:t>,</w:t>
      </w:r>
      <w:r w:rsidR="00EF33B3">
        <w:t xml:space="preserve"> &amp; </w:t>
      </w:r>
      <w:proofErr w:type="spellStart"/>
      <w:r w:rsidR="00EF33B3">
        <w:t>Higbee</w:t>
      </w:r>
      <w:proofErr w:type="spellEnd"/>
      <w:r w:rsidR="00EF33B3">
        <w:t xml:space="preserve">, </w:t>
      </w:r>
      <w:commentRangeStart w:id="7"/>
      <w:r w:rsidR="00EF33B3">
        <w:t>2007</w:t>
      </w:r>
      <w:commentRangeEnd w:id="7"/>
      <w:r w:rsidR="002316D2">
        <w:rPr>
          <w:rStyle w:val="CommentReference"/>
        </w:rPr>
        <w:commentReference w:id="7"/>
      </w:r>
      <w:r w:rsidR="00EF33B3">
        <w:t xml:space="preserve">). </w:t>
      </w:r>
    </w:p>
    <w:p w:rsidR="005F2F1B" w:rsidRDefault="005F2F1B" w:rsidP="00877F08">
      <w:pPr>
        <w:spacing w:after="0"/>
      </w:pPr>
    </w:p>
    <w:p w:rsidR="005F2F1B" w:rsidRDefault="005F2F1B" w:rsidP="00877F08">
      <w:pPr>
        <w:spacing w:after="0"/>
      </w:pPr>
    </w:p>
    <w:p w:rsidR="005F2F1B" w:rsidRDefault="005F2F1B" w:rsidP="00877F08">
      <w:pPr>
        <w:spacing w:after="0"/>
      </w:pPr>
    </w:p>
    <w:p w:rsidR="005F2F1B" w:rsidRDefault="005F2F1B" w:rsidP="005F2F1B">
      <w:pPr>
        <w:spacing w:after="0"/>
        <w:jc w:val="center"/>
        <w:rPr>
          <w:b/>
        </w:rPr>
      </w:pPr>
      <w:r>
        <w:rPr>
          <w:b/>
        </w:rPr>
        <w:lastRenderedPageBreak/>
        <w:t>Resources</w:t>
      </w:r>
    </w:p>
    <w:p w:rsidR="005F2F1B" w:rsidRDefault="005F2F1B" w:rsidP="005F2F1B">
      <w:pPr>
        <w:spacing w:after="0"/>
      </w:pPr>
      <w:proofErr w:type="spellStart"/>
      <w:proofErr w:type="gramStart"/>
      <w:r>
        <w:t>Benefield</w:t>
      </w:r>
      <w:proofErr w:type="spellEnd"/>
      <w:r>
        <w:t>, L.E.</w:t>
      </w:r>
      <w:r w:rsidR="002316D2">
        <w:rPr>
          <w:color w:val="FF0000"/>
        </w:rPr>
        <w:t>,</w:t>
      </w:r>
      <w:r>
        <w:t xml:space="preserve"> &amp; </w:t>
      </w:r>
      <w:proofErr w:type="spellStart"/>
      <w:r>
        <w:t>Higbee</w:t>
      </w:r>
      <w:proofErr w:type="spellEnd"/>
      <w:r>
        <w:t>, R.L. (2007).</w:t>
      </w:r>
      <w:proofErr w:type="gramEnd"/>
      <w:r>
        <w:t xml:space="preserve"> </w:t>
      </w:r>
      <w:proofErr w:type="gramStart"/>
      <w:r w:rsidRPr="005F2F1B">
        <w:rPr>
          <w:i/>
        </w:rPr>
        <w:t>Frailty and its complications for care.</w:t>
      </w:r>
      <w:proofErr w:type="gramEnd"/>
      <w:r w:rsidRPr="005F2F1B">
        <w:rPr>
          <w:i/>
        </w:rPr>
        <w:t xml:space="preserve"> </w:t>
      </w:r>
      <w:proofErr w:type="gramStart"/>
      <w:r w:rsidRPr="005F2F1B">
        <w:t>Hartford</w:t>
      </w:r>
      <w:r>
        <w:t xml:space="preserve"> Institute </w:t>
      </w:r>
      <w:r>
        <w:tab/>
        <w:t>for Geriatric Nursing.</w:t>
      </w:r>
      <w:proofErr w:type="gramEnd"/>
      <w:r>
        <w:t xml:space="preserve"> </w:t>
      </w:r>
      <w:proofErr w:type="gramStart"/>
      <w:r>
        <w:t xml:space="preserve">Retrieved from </w:t>
      </w:r>
      <w:r w:rsidRPr="005F2F1B">
        <w:t>www.consultgerirn.org</w:t>
      </w:r>
      <w:r>
        <w:t>.</w:t>
      </w:r>
      <w:proofErr w:type="gramEnd"/>
    </w:p>
    <w:p w:rsidR="005F2F1B" w:rsidRDefault="0046041E" w:rsidP="005F2F1B">
      <w:pPr>
        <w:spacing w:after="0"/>
      </w:pPr>
      <w:proofErr w:type="spellStart"/>
      <w:proofErr w:type="gramStart"/>
      <w:r>
        <w:t>Epinoza</w:t>
      </w:r>
      <w:proofErr w:type="spellEnd"/>
      <w:r>
        <w:t>, S.E.</w:t>
      </w:r>
      <w:r w:rsidR="002316D2">
        <w:rPr>
          <w:color w:val="FF0000"/>
        </w:rPr>
        <w:t>,</w:t>
      </w:r>
      <w:r>
        <w:t xml:space="preserve"> &amp; Fried, L.P. (2007).</w:t>
      </w:r>
      <w:proofErr w:type="gramEnd"/>
      <w:r>
        <w:t xml:space="preserve"> </w:t>
      </w:r>
      <w:proofErr w:type="gramStart"/>
      <w:r>
        <w:rPr>
          <w:i/>
        </w:rPr>
        <w:t>Risk factors for frailty in the older adult.</w:t>
      </w:r>
      <w:proofErr w:type="gramEnd"/>
      <w:r>
        <w:rPr>
          <w:i/>
        </w:rPr>
        <w:t xml:space="preserve"> </w:t>
      </w:r>
      <w:proofErr w:type="gramStart"/>
      <w:r>
        <w:t xml:space="preserve">John Hopkins </w:t>
      </w:r>
      <w:r>
        <w:tab/>
        <w:t>Medicine.</w:t>
      </w:r>
      <w:proofErr w:type="gramEnd"/>
      <w:r>
        <w:t xml:space="preserve"> </w:t>
      </w:r>
      <w:proofErr w:type="gramStart"/>
      <w:r>
        <w:t xml:space="preserve">Retrieved from </w:t>
      </w:r>
      <w:r w:rsidRPr="0046041E">
        <w:t>www.imsersomayores.csic.es</w:t>
      </w:r>
      <w:r>
        <w:t>.</w:t>
      </w:r>
      <w:proofErr w:type="gramEnd"/>
    </w:p>
    <w:p w:rsidR="0046041E" w:rsidRDefault="00610585" w:rsidP="005F2F1B">
      <w:pPr>
        <w:spacing w:after="0"/>
      </w:pPr>
      <w:proofErr w:type="spellStart"/>
      <w:proofErr w:type="gramStart"/>
      <w:r>
        <w:t>Cherniack</w:t>
      </w:r>
      <w:proofErr w:type="spellEnd"/>
      <w:r>
        <w:t xml:space="preserve">, E., </w:t>
      </w:r>
      <w:proofErr w:type="spellStart"/>
      <w:r>
        <w:t>Florez</w:t>
      </w:r>
      <w:proofErr w:type="spellEnd"/>
      <w:r>
        <w:t xml:space="preserve">, H., &amp; </w:t>
      </w:r>
      <w:proofErr w:type="spellStart"/>
      <w:r>
        <w:t>Troen</w:t>
      </w:r>
      <w:proofErr w:type="spellEnd"/>
      <w:r>
        <w:t>, B. (2007).</w:t>
      </w:r>
      <w:proofErr w:type="gramEnd"/>
      <w:r>
        <w:t xml:space="preserve"> </w:t>
      </w:r>
      <w:proofErr w:type="gramStart"/>
      <w:r>
        <w:rPr>
          <w:i/>
        </w:rPr>
        <w:t>Emergency therapies to treat frailty syndrome in</w:t>
      </w:r>
      <w:r>
        <w:rPr>
          <w:i/>
        </w:rPr>
        <w:tab/>
      </w:r>
      <w:r>
        <w:rPr>
          <w:i/>
        </w:rPr>
        <w:tab/>
        <w:t xml:space="preserve"> the elderly.</w:t>
      </w:r>
      <w:proofErr w:type="gramEnd"/>
      <w:r>
        <w:t xml:space="preserve"> </w:t>
      </w:r>
      <w:proofErr w:type="gramStart"/>
      <w:r>
        <w:t xml:space="preserve">Retrieved </w:t>
      </w:r>
      <w:commentRangeStart w:id="8"/>
      <w:r>
        <w:t xml:space="preserve">from </w:t>
      </w:r>
      <w:r w:rsidRPr="00610585">
        <w:t>www.findarticles.com</w:t>
      </w:r>
      <w:commentRangeEnd w:id="8"/>
      <w:r w:rsidR="002316D2">
        <w:rPr>
          <w:rStyle w:val="CommentReference"/>
        </w:rPr>
        <w:commentReference w:id="8"/>
      </w:r>
      <w:r>
        <w:t>.</w:t>
      </w:r>
      <w:proofErr w:type="gramEnd"/>
    </w:p>
    <w:p w:rsidR="00610585" w:rsidRPr="00610585" w:rsidRDefault="00610585" w:rsidP="005F2F1B">
      <w:pPr>
        <w:spacing w:after="0"/>
      </w:pPr>
    </w:p>
    <w:sectPr w:rsidR="00610585" w:rsidRPr="00610585" w:rsidSect="009021E5">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7T05:20:00Z" w:initials="M">
    <w:p w:rsidR="002316D2" w:rsidRDefault="002316D2">
      <w:pPr>
        <w:pStyle w:val="CommentText"/>
      </w:pPr>
      <w:r>
        <w:rPr>
          <w:rStyle w:val="CommentReference"/>
        </w:rPr>
        <w:annotationRef/>
      </w:r>
      <w:r>
        <w:t>Page number with direct quote</w:t>
      </w:r>
    </w:p>
  </w:comment>
  <w:comment w:id="1" w:author="Mary" w:date="2012-02-27T05:21:00Z" w:initials="M">
    <w:p w:rsidR="002316D2" w:rsidRDefault="002316D2">
      <w:pPr>
        <w:pStyle w:val="CommentText"/>
      </w:pPr>
      <w:r>
        <w:rPr>
          <w:rStyle w:val="CommentReference"/>
        </w:rPr>
        <w:annotationRef/>
      </w:r>
      <w:r>
        <w:t>Same as above</w:t>
      </w:r>
    </w:p>
  </w:comment>
  <w:comment w:id="2" w:author="Mary" w:date="2012-02-27T05:30:00Z" w:initials="M">
    <w:p w:rsidR="002316D2" w:rsidRDefault="002316D2">
      <w:pPr>
        <w:pStyle w:val="CommentText"/>
      </w:pPr>
      <w:r>
        <w:rPr>
          <w:rStyle w:val="CommentReference"/>
        </w:rPr>
        <w:annotationRef/>
      </w:r>
      <w:r>
        <w:t>Need page number</w:t>
      </w:r>
    </w:p>
  </w:comment>
  <w:comment w:id="3" w:author="Mary" w:date="2012-02-27T05:22:00Z" w:initials="M">
    <w:p w:rsidR="002316D2" w:rsidRDefault="002316D2">
      <w:pPr>
        <w:pStyle w:val="CommentText"/>
      </w:pPr>
      <w:r>
        <w:rPr>
          <w:rStyle w:val="CommentReference"/>
        </w:rPr>
        <w:annotationRef/>
      </w:r>
      <w:r>
        <w:t>Need page numbers</w:t>
      </w:r>
    </w:p>
  </w:comment>
  <w:comment w:id="4" w:author="Mary" w:date="2012-02-27T05:22:00Z" w:initials="M">
    <w:p w:rsidR="002316D2" w:rsidRDefault="002316D2">
      <w:pPr>
        <w:pStyle w:val="CommentText"/>
      </w:pPr>
      <w:r>
        <w:rPr>
          <w:rStyle w:val="CommentReference"/>
        </w:rPr>
        <w:annotationRef/>
      </w:r>
      <w:r>
        <w:t>Same as above</w:t>
      </w:r>
    </w:p>
  </w:comment>
  <w:comment w:id="5" w:author="Mary" w:date="2012-02-27T05:23:00Z" w:initials="M">
    <w:p w:rsidR="002316D2" w:rsidRDefault="002316D2">
      <w:pPr>
        <w:pStyle w:val="CommentText"/>
      </w:pPr>
      <w:r>
        <w:rPr>
          <w:rStyle w:val="CommentReference"/>
        </w:rPr>
        <w:annotationRef/>
      </w:r>
      <w:r>
        <w:t>Page number with direct quote</w:t>
      </w:r>
    </w:p>
  </w:comment>
  <w:comment w:id="6" w:author="Mary" w:date="2012-02-27T05:27:00Z" w:initials="M">
    <w:p w:rsidR="002316D2" w:rsidRDefault="002316D2">
      <w:pPr>
        <w:pStyle w:val="CommentText"/>
      </w:pPr>
      <w:r>
        <w:rPr>
          <w:rStyle w:val="CommentReference"/>
        </w:rPr>
        <w:annotationRef/>
      </w:r>
      <w:r>
        <w:t>Direct quote needs page number</w:t>
      </w:r>
    </w:p>
  </w:comment>
  <w:comment w:id="7" w:author="Mary" w:date="2012-02-27T05:27:00Z" w:initials="M">
    <w:p w:rsidR="002316D2" w:rsidRDefault="002316D2">
      <w:pPr>
        <w:pStyle w:val="CommentText"/>
      </w:pPr>
      <w:r>
        <w:rPr>
          <w:rStyle w:val="CommentReference"/>
        </w:rPr>
        <w:annotationRef/>
      </w:r>
      <w:r>
        <w:t>Same as above</w:t>
      </w:r>
    </w:p>
  </w:comment>
  <w:comment w:id="8" w:author="Mary" w:date="2012-02-27T05:29:00Z" w:initials="M">
    <w:p w:rsidR="002316D2" w:rsidRDefault="002316D2">
      <w:pPr>
        <w:pStyle w:val="CommentText"/>
      </w:pPr>
      <w:r>
        <w:rPr>
          <w:rStyle w:val="CommentReference"/>
        </w:rPr>
        <w:annotationRef/>
      </w:r>
      <w:r>
        <w:t>Should not use a database but give address direct to article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28A" w:rsidRDefault="0092728A" w:rsidP="009021E5">
      <w:pPr>
        <w:spacing w:after="0" w:line="240" w:lineRule="auto"/>
      </w:pPr>
      <w:r>
        <w:separator/>
      </w:r>
    </w:p>
  </w:endnote>
  <w:endnote w:type="continuationSeparator" w:id="0">
    <w:p w:rsidR="0092728A" w:rsidRDefault="0092728A" w:rsidP="00902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28A" w:rsidRDefault="0092728A" w:rsidP="009021E5">
      <w:pPr>
        <w:spacing w:after="0" w:line="240" w:lineRule="auto"/>
      </w:pPr>
      <w:r>
        <w:separator/>
      </w:r>
    </w:p>
  </w:footnote>
  <w:footnote w:type="continuationSeparator" w:id="0">
    <w:p w:rsidR="0092728A" w:rsidRDefault="0092728A" w:rsidP="009021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23726"/>
      <w:docPartObj>
        <w:docPartGallery w:val="Page Numbers (Top of Page)"/>
        <w:docPartUnique/>
      </w:docPartObj>
    </w:sdtPr>
    <w:sdtContent>
      <w:p w:rsidR="009B2D8D" w:rsidRDefault="009B2D8D">
        <w:pPr>
          <w:pStyle w:val="Header"/>
          <w:jc w:val="right"/>
        </w:pPr>
        <w:r>
          <w:t xml:space="preserve">CASE STUDY #5                                                                                                                            </w:t>
        </w:r>
        <w:fldSimple w:instr=" PAGE   \* MERGEFORMAT ">
          <w:r w:rsidR="00C37914">
            <w:rPr>
              <w:noProof/>
            </w:rPr>
            <w:t>2</w:t>
          </w:r>
        </w:fldSimple>
      </w:p>
    </w:sdtContent>
  </w:sdt>
  <w:p w:rsidR="009B2D8D" w:rsidRDefault="009B2D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8D" w:rsidRDefault="009B2D8D">
    <w:pPr>
      <w:pStyle w:val="Header"/>
      <w:jc w:val="right"/>
    </w:pPr>
    <w:r>
      <w:t xml:space="preserve">Running head: CASE STUDY #5                                                                                                    </w:t>
    </w:r>
    <w:sdt>
      <w:sdtPr>
        <w:id w:val="177023727"/>
        <w:docPartObj>
          <w:docPartGallery w:val="Page Numbers (Top of Page)"/>
          <w:docPartUnique/>
        </w:docPartObj>
      </w:sdtPr>
      <w:sdtContent>
        <w:fldSimple w:instr=" PAGE   \* MERGEFORMAT ">
          <w:r w:rsidR="00C37914">
            <w:rPr>
              <w:noProof/>
            </w:rPr>
            <w:t>1</w:t>
          </w:r>
        </w:fldSimple>
      </w:sdtContent>
    </w:sdt>
  </w:p>
  <w:p w:rsidR="009B2D8D" w:rsidRDefault="009B2D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35E99"/>
    <w:multiLevelType w:val="multilevel"/>
    <w:tmpl w:val="CAAE2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77F08"/>
    <w:rsid w:val="001A6B79"/>
    <w:rsid w:val="001D7078"/>
    <w:rsid w:val="002316D2"/>
    <w:rsid w:val="00236908"/>
    <w:rsid w:val="002C415F"/>
    <w:rsid w:val="0032593C"/>
    <w:rsid w:val="003A1F8D"/>
    <w:rsid w:val="0046041E"/>
    <w:rsid w:val="004E7B74"/>
    <w:rsid w:val="004F0EFC"/>
    <w:rsid w:val="00545709"/>
    <w:rsid w:val="005F2F1B"/>
    <w:rsid w:val="00610585"/>
    <w:rsid w:val="00637A7B"/>
    <w:rsid w:val="006C79EE"/>
    <w:rsid w:val="00740D56"/>
    <w:rsid w:val="00790EED"/>
    <w:rsid w:val="00840CE9"/>
    <w:rsid w:val="00877F08"/>
    <w:rsid w:val="009021E5"/>
    <w:rsid w:val="0092728A"/>
    <w:rsid w:val="009537C4"/>
    <w:rsid w:val="009B2D8D"/>
    <w:rsid w:val="00A77540"/>
    <w:rsid w:val="00B02E4E"/>
    <w:rsid w:val="00B53894"/>
    <w:rsid w:val="00B95EE0"/>
    <w:rsid w:val="00C37914"/>
    <w:rsid w:val="00D93DFF"/>
    <w:rsid w:val="00DE62BC"/>
    <w:rsid w:val="00E32597"/>
    <w:rsid w:val="00E35B64"/>
    <w:rsid w:val="00EF33B3"/>
    <w:rsid w:val="00FB5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1E5"/>
  </w:style>
  <w:style w:type="paragraph" w:styleId="Footer">
    <w:name w:val="footer"/>
    <w:basedOn w:val="Normal"/>
    <w:link w:val="FooterChar"/>
    <w:uiPriority w:val="99"/>
    <w:semiHidden/>
    <w:unhideWhenUsed/>
    <w:rsid w:val="009021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21E5"/>
  </w:style>
  <w:style w:type="character" w:styleId="Hyperlink">
    <w:name w:val="Hyperlink"/>
    <w:basedOn w:val="DefaultParagraphFont"/>
    <w:uiPriority w:val="99"/>
    <w:unhideWhenUsed/>
    <w:rsid w:val="005F2F1B"/>
    <w:rPr>
      <w:color w:val="0000FF" w:themeColor="hyperlink"/>
      <w:u w:val="single"/>
    </w:rPr>
  </w:style>
  <w:style w:type="character" w:styleId="CommentReference">
    <w:name w:val="annotation reference"/>
    <w:basedOn w:val="DefaultParagraphFont"/>
    <w:uiPriority w:val="99"/>
    <w:semiHidden/>
    <w:unhideWhenUsed/>
    <w:rsid w:val="002316D2"/>
    <w:rPr>
      <w:sz w:val="16"/>
      <w:szCs w:val="16"/>
    </w:rPr>
  </w:style>
  <w:style w:type="paragraph" w:styleId="CommentText">
    <w:name w:val="annotation text"/>
    <w:basedOn w:val="Normal"/>
    <w:link w:val="CommentTextChar"/>
    <w:uiPriority w:val="99"/>
    <w:semiHidden/>
    <w:unhideWhenUsed/>
    <w:rsid w:val="002316D2"/>
    <w:pPr>
      <w:spacing w:line="240" w:lineRule="auto"/>
    </w:pPr>
    <w:rPr>
      <w:sz w:val="20"/>
      <w:szCs w:val="20"/>
    </w:rPr>
  </w:style>
  <w:style w:type="character" w:customStyle="1" w:styleId="CommentTextChar">
    <w:name w:val="Comment Text Char"/>
    <w:basedOn w:val="DefaultParagraphFont"/>
    <w:link w:val="CommentText"/>
    <w:uiPriority w:val="99"/>
    <w:semiHidden/>
    <w:rsid w:val="002316D2"/>
    <w:rPr>
      <w:sz w:val="20"/>
      <w:szCs w:val="20"/>
    </w:rPr>
  </w:style>
  <w:style w:type="paragraph" w:styleId="CommentSubject">
    <w:name w:val="annotation subject"/>
    <w:basedOn w:val="CommentText"/>
    <w:next w:val="CommentText"/>
    <w:link w:val="CommentSubjectChar"/>
    <w:uiPriority w:val="99"/>
    <w:semiHidden/>
    <w:unhideWhenUsed/>
    <w:rsid w:val="002316D2"/>
    <w:rPr>
      <w:b/>
      <w:bCs/>
    </w:rPr>
  </w:style>
  <w:style w:type="character" w:customStyle="1" w:styleId="CommentSubjectChar">
    <w:name w:val="Comment Subject Char"/>
    <w:basedOn w:val="CommentTextChar"/>
    <w:link w:val="CommentSubject"/>
    <w:uiPriority w:val="99"/>
    <w:semiHidden/>
    <w:rsid w:val="002316D2"/>
    <w:rPr>
      <w:b/>
      <w:bCs/>
    </w:rPr>
  </w:style>
  <w:style w:type="paragraph" w:styleId="BalloonText">
    <w:name w:val="Balloon Text"/>
    <w:basedOn w:val="Normal"/>
    <w:link w:val="BalloonTextChar"/>
    <w:uiPriority w:val="99"/>
    <w:semiHidden/>
    <w:unhideWhenUsed/>
    <w:rsid w:val="00231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6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524143">
      <w:bodyDiv w:val="1"/>
      <w:marLeft w:val="0"/>
      <w:marRight w:val="0"/>
      <w:marTop w:val="0"/>
      <w:marBottom w:val="0"/>
      <w:divBdr>
        <w:top w:val="none" w:sz="0" w:space="0" w:color="auto"/>
        <w:left w:val="none" w:sz="0" w:space="0" w:color="auto"/>
        <w:bottom w:val="none" w:sz="0" w:space="0" w:color="auto"/>
        <w:right w:val="none" w:sz="0" w:space="0" w:color="auto"/>
      </w:divBdr>
      <w:divsChild>
        <w:div w:id="39399701">
          <w:marLeft w:val="0"/>
          <w:marRight w:val="0"/>
          <w:marTop w:val="210"/>
          <w:marBottom w:val="210"/>
          <w:divBdr>
            <w:top w:val="none" w:sz="0" w:space="0" w:color="auto"/>
            <w:left w:val="none" w:sz="0" w:space="0" w:color="auto"/>
            <w:bottom w:val="none" w:sz="0" w:space="0" w:color="auto"/>
            <w:right w:val="none" w:sz="0" w:space="0" w:color="auto"/>
          </w:divBdr>
          <w:divsChild>
            <w:div w:id="1749233497">
              <w:marLeft w:val="0"/>
              <w:marRight w:val="0"/>
              <w:marTop w:val="0"/>
              <w:marBottom w:val="0"/>
              <w:divBdr>
                <w:top w:val="none" w:sz="0" w:space="0" w:color="auto"/>
                <w:left w:val="none" w:sz="0" w:space="0" w:color="auto"/>
                <w:bottom w:val="none" w:sz="0" w:space="0" w:color="auto"/>
                <w:right w:val="none" w:sz="0" w:space="0" w:color="auto"/>
              </w:divBdr>
              <w:divsChild>
                <w:div w:id="1051921952">
                  <w:marLeft w:val="0"/>
                  <w:marRight w:val="0"/>
                  <w:marTop w:val="0"/>
                  <w:marBottom w:val="0"/>
                  <w:divBdr>
                    <w:top w:val="none" w:sz="0" w:space="0" w:color="auto"/>
                    <w:left w:val="none" w:sz="0" w:space="0" w:color="auto"/>
                    <w:bottom w:val="none" w:sz="0" w:space="0" w:color="auto"/>
                    <w:right w:val="none" w:sz="0" w:space="0" w:color="auto"/>
                  </w:divBdr>
                  <w:divsChild>
                    <w:div w:id="688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865</Words>
  <Characters>4931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2012-02-27T11:32:00Z</dcterms:created>
  <dcterms:modified xsi:type="dcterms:W3CDTF">2012-02-27T11:32:00Z</dcterms:modified>
</cp:coreProperties>
</file>