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DA" w:rsidRDefault="001D4BC8" w:rsidP="00E93B1A">
      <w:pPr>
        <w:jc w:val="center"/>
      </w:pPr>
      <w:r>
        <w:rPr>
          <w:rStyle w:val="CommentReference"/>
        </w:rPr>
        <w:commentReference w:id="0"/>
      </w:r>
    </w:p>
    <w:p w:rsidR="00E93B1A" w:rsidRDefault="00E93B1A" w:rsidP="00E93B1A">
      <w:pPr>
        <w:jc w:val="center"/>
      </w:pPr>
    </w:p>
    <w:p w:rsidR="00E93B1A" w:rsidRDefault="00E93B1A" w:rsidP="00E93B1A">
      <w:pPr>
        <w:jc w:val="center"/>
      </w:pPr>
    </w:p>
    <w:p w:rsidR="00E93B1A" w:rsidRDefault="00E93B1A" w:rsidP="00E93B1A">
      <w:pPr>
        <w:jc w:val="center"/>
      </w:pPr>
    </w:p>
    <w:p w:rsidR="00E93B1A" w:rsidRDefault="00E93B1A" w:rsidP="00E93B1A">
      <w:pPr>
        <w:jc w:val="center"/>
      </w:pPr>
    </w:p>
    <w:p w:rsidR="00E93B1A" w:rsidRDefault="00E93B1A" w:rsidP="00E93B1A">
      <w:pPr>
        <w:jc w:val="center"/>
      </w:pPr>
    </w:p>
    <w:p w:rsidR="00E93B1A" w:rsidRDefault="00E93B1A" w:rsidP="00E93B1A">
      <w:pPr>
        <w:jc w:val="center"/>
      </w:pPr>
    </w:p>
    <w:p w:rsidR="00E93B1A" w:rsidRDefault="00E93B1A" w:rsidP="00E93B1A">
      <w:pPr>
        <w:jc w:val="center"/>
      </w:pPr>
    </w:p>
    <w:p w:rsidR="00E93B1A" w:rsidRDefault="00E93B1A" w:rsidP="00E93B1A">
      <w:pPr>
        <w:jc w:val="center"/>
      </w:pPr>
      <w:r>
        <w:t>Case Study 3.1 Response</w:t>
      </w:r>
    </w:p>
    <w:p w:rsidR="00E93B1A" w:rsidRDefault="00E93B1A" w:rsidP="00E93B1A">
      <w:pPr>
        <w:jc w:val="center"/>
      </w:pPr>
      <w:r>
        <w:t>Ashley Black</w:t>
      </w:r>
    </w:p>
    <w:p w:rsidR="00E93B1A" w:rsidRDefault="00E93B1A" w:rsidP="00E93B1A">
      <w:pPr>
        <w:jc w:val="center"/>
      </w:pPr>
      <w:r>
        <w:t>Lakeview College of Nursing</w:t>
      </w:r>
    </w:p>
    <w:p w:rsidR="00E93B1A" w:rsidRDefault="00E93B1A" w:rsidP="00E93B1A">
      <w:pPr>
        <w:jc w:val="center"/>
      </w:pPr>
      <w:r>
        <w:t>N309 Nursing of the Gerontological Client</w:t>
      </w:r>
    </w:p>
    <w:p w:rsidR="00E93B1A" w:rsidRDefault="00E93B1A" w:rsidP="00E93B1A">
      <w:pPr>
        <w:jc w:val="center"/>
      </w:pPr>
      <w:r>
        <w:t>5/23/2011</w:t>
      </w:r>
    </w:p>
    <w:p w:rsidR="00E93B1A" w:rsidRDefault="00E93B1A">
      <w:r>
        <w:br w:type="page"/>
      </w:r>
    </w:p>
    <w:p w:rsidR="00A35BB2" w:rsidRPr="00830D0E" w:rsidRDefault="00A35BB2" w:rsidP="00A35BB2">
      <w:pPr>
        <w:ind w:firstLine="720"/>
        <w:jc w:val="center"/>
        <w:rPr>
          <w:rFonts w:asciiTheme="majorBidi" w:hAnsiTheme="majorBidi" w:cstheme="majorBidi"/>
          <w:b/>
          <w:bCs/>
        </w:rPr>
      </w:pPr>
      <w:r w:rsidRPr="00830D0E">
        <w:rPr>
          <w:rFonts w:asciiTheme="majorBidi" w:hAnsiTheme="majorBidi" w:cstheme="majorBidi"/>
          <w:b/>
          <w:bCs/>
        </w:rPr>
        <w:lastRenderedPageBreak/>
        <w:t>Mr. Ronald Dea</w:t>
      </w:r>
    </w:p>
    <w:p w:rsidR="00A35BB2" w:rsidRPr="00830D0E" w:rsidRDefault="00CC6FE2" w:rsidP="00B43313">
      <w:pPr>
        <w:ind w:firstLine="720"/>
        <w:rPr>
          <w:rFonts w:asciiTheme="majorBidi" w:hAnsiTheme="majorBidi" w:cstheme="majorBidi"/>
        </w:rPr>
      </w:pPr>
      <w:r w:rsidRPr="00830D0E">
        <w:rPr>
          <w:rFonts w:asciiTheme="majorBidi" w:hAnsiTheme="majorBidi" w:cstheme="majorBidi"/>
        </w:rPr>
        <w:t xml:space="preserve">Mr. Dea was a 64 year old accountant who had been planning retirement for many years. After his wife died from lymphoma, Mr. Dea’s social activity became nonexistent. He does not cook and eats fast food and easily prepared snacks. </w:t>
      </w:r>
      <w:r w:rsidR="00A35BB2" w:rsidRPr="00830D0E">
        <w:rPr>
          <w:rFonts w:asciiTheme="majorBidi" w:hAnsiTheme="majorBidi" w:cstheme="majorBidi"/>
        </w:rPr>
        <w:t>He began smoking a nightly cigar and fractured h</w:t>
      </w:r>
      <w:r w:rsidR="0042361B" w:rsidRPr="00830D0E">
        <w:rPr>
          <w:rFonts w:asciiTheme="majorBidi" w:hAnsiTheme="majorBidi" w:cstheme="majorBidi"/>
        </w:rPr>
        <w:t>is hip wh</w:t>
      </w:r>
      <w:r w:rsidR="00B43313">
        <w:rPr>
          <w:rFonts w:asciiTheme="majorBidi" w:hAnsiTheme="majorBidi" w:cstheme="majorBidi"/>
        </w:rPr>
        <w:t>ile walking up a hill (Lange &amp;</w:t>
      </w:r>
      <w:r w:rsidR="0042361B" w:rsidRPr="00830D0E">
        <w:rPr>
          <w:rFonts w:asciiTheme="majorBidi" w:hAnsiTheme="majorBidi" w:cstheme="majorBidi"/>
        </w:rPr>
        <w:t xml:space="preserve"> Grossman, 2010, </w:t>
      </w:r>
      <w:commentRangeStart w:id="1"/>
      <w:r w:rsidR="0042361B" w:rsidRPr="00830D0E">
        <w:rPr>
          <w:rFonts w:asciiTheme="majorBidi" w:hAnsiTheme="majorBidi" w:cstheme="majorBidi"/>
        </w:rPr>
        <w:t>p. 65).</w:t>
      </w:r>
      <w:commentRangeEnd w:id="1"/>
      <w:r w:rsidR="001D4BC8">
        <w:rPr>
          <w:rStyle w:val="CommentReference"/>
        </w:rPr>
        <w:commentReference w:id="1"/>
      </w:r>
    </w:p>
    <w:p w:rsidR="00CC6FE2" w:rsidRPr="00830D0E" w:rsidRDefault="00A35BB2" w:rsidP="00B43313">
      <w:pPr>
        <w:ind w:firstLine="720"/>
        <w:rPr>
          <w:rFonts w:asciiTheme="majorBidi" w:hAnsiTheme="majorBidi" w:cstheme="majorBidi"/>
          <w:b/>
          <w:bCs/>
        </w:rPr>
      </w:pPr>
      <w:r w:rsidRPr="00830D0E">
        <w:rPr>
          <w:rFonts w:asciiTheme="majorBidi" w:hAnsiTheme="majorBidi" w:cstheme="majorBidi"/>
        </w:rPr>
        <w:t xml:space="preserve">After being discharged from a rehabilitation center, Mr. Dea is hesitant about retiring, since working is the only activity he now performs. He wishes to retain as much independence as possible while his daughter wants him to move in with her family. What are his options and how does the aging theories explain is situation? The purpose of this paper is to answer the case </w:t>
      </w:r>
      <w:r w:rsidR="0042361B" w:rsidRPr="00830D0E">
        <w:rPr>
          <w:rFonts w:asciiTheme="majorBidi" w:hAnsiTheme="majorBidi" w:cstheme="majorBidi"/>
        </w:rPr>
        <w:t>study concerning Mr. Ronald Dea</w:t>
      </w:r>
      <w:r w:rsidRPr="00830D0E">
        <w:rPr>
          <w:rFonts w:asciiTheme="majorBidi" w:hAnsiTheme="majorBidi" w:cstheme="majorBidi"/>
        </w:rPr>
        <w:t xml:space="preserve"> (</w:t>
      </w:r>
      <w:r w:rsidR="00B43313">
        <w:rPr>
          <w:rFonts w:asciiTheme="majorBidi" w:hAnsiTheme="majorBidi" w:cstheme="majorBidi"/>
        </w:rPr>
        <w:t>Lange &amp;</w:t>
      </w:r>
      <w:r w:rsidR="00CE5C22" w:rsidRPr="00830D0E">
        <w:rPr>
          <w:rFonts w:asciiTheme="majorBidi" w:hAnsiTheme="majorBidi" w:cstheme="majorBidi"/>
        </w:rPr>
        <w:t xml:space="preserve"> Grossman, 2010, </w:t>
      </w:r>
      <w:r w:rsidRPr="00830D0E">
        <w:rPr>
          <w:rFonts w:asciiTheme="majorBidi" w:hAnsiTheme="majorBidi" w:cstheme="majorBidi"/>
        </w:rPr>
        <w:t xml:space="preserve">p. </w:t>
      </w:r>
      <w:commentRangeStart w:id="2"/>
      <w:r w:rsidRPr="00830D0E">
        <w:rPr>
          <w:rFonts w:asciiTheme="majorBidi" w:hAnsiTheme="majorBidi" w:cstheme="majorBidi"/>
        </w:rPr>
        <w:t>65</w:t>
      </w:r>
      <w:r w:rsidR="0042361B" w:rsidRPr="00830D0E">
        <w:rPr>
          <w:rFonts w:asciiTheme="majorBidi" w:hAnsiTheme="majorBidi" w:cstheme="majorBidi"/>
        </w:rPr>
        <w:t>-66</w:t>
      </w:r>
      <w:r w:rsidRPr="00830D0E">
        <w:rPr>
          <w:rFonts w:asciiTheme="majorBidi" w:hAnsiTheme="majorBidi" w:cstheme="majorBidi"/>
        </w:rPr>
        <w:t>).</w:t>
      </w:r>
      <w:commentRangeEnd w:id="2"/>
      <w:r w:rsidR="001D4BC8">
        <w:rPr>
          <w:rStyle w:val="CommentReference"/>
        </w:rPr>
        <w:commentReference w:id="2"/>
      </w:r>
    </w:p>
    <w:p w:rsidR="00CE5C22" w:rsidRPr="00830D0E" w:rsidRDefault="00CE5C22" w:rsidP="00B43313">
      <w:pPr>
        <w:ind w:firstLine="720"/>
        <w:jc w:val="center"/>
        <w:rPr>
          <w:rFonts w:asciiTheme="majorBidi" w:hAnsiTheme="majorBidi" w:cstheme="majorBidi"/>
          <w:b/>
          <w:bCs/>
        </w:rPr>
      </w:pPr>
      <w:r w:rsidRPr="00830D0E">
        <w:rPr>
          <w:rFonts w:asciiTheme="majorBidi" w:hAnsiTheme="majorBidi" w:cstheme="majorBidi"/>
          <w:b/>
          <w:bCs/>
        </w:rPr>
        <w:t>Continuity Theory</w:t>
      </w:r>
    </w:p>
    <w:p w:rsidR="00CE5C22" w:rsidRPr="00830D0E" w:rsidRDefault="00D04800" w:rsidP="00B43313">
      <w:pPr>
        <w:ind w:firstLine="720"/>
        <w:rPr>
          <w:rFonts w:asciiTheme="majorBidi" w:hAnsiTheme="majorBidi" w:cstheme="majorBidi"/>
        </w:rPr>
      </w:pPr>
      <w:r w:rsidRPr="00830D0E">
        <w:rPr>
          <w:rFonts w:asciiTheme="majorBidi" w:hAnsiTheme="majorBidi" w:cstheme="majorBidi"/>
        </w:rPr>
        <w:t>The c</w:t>
      </w:r>
      <w:r w:rsidR="00CE5C22" w:rsidRPr="00830D0E">
        <w:rPr>
          <w:rFonts w:asciiTheme="majorBidi" w:hAnsiTheme="majorBidi" w:cstheme="majorBidi"/>
        </w:rPr>
        <w:t xml:space="preserve">ontinuity </w:t>
      </w:r>
      <w:r w:rsidRPr="00830D0E">
        <w:rPr>
          <w:rFonts w:asciiTheme="majorBidi" w:hAnsiTheme="majorBidi" w:cstheme="majorBidi"/>
        </w:rPr>
        <w:t>t</w:t>
      </w:r>
      <w:r w:rsidR="00CE5C22" w:rsidRPr="00830D0E">
        <w:rPr>
          <w:rFonts w:asciiTheme="majorBidi" w:hAnsiTheme="majorBidi" w:cstheme="majorBidi"/>
        </w:rPr>
        <w:t>heory states that personality and coping pattern</w:t>
      </w:r>
      <w:r w:rsidR="0042361B" w:rsidRPr="00830D0E">
        <w:rPr>
          <w:rFonts w:asciiTheme="majorBidi" w:hAnsiTheme="majorBidi" w:cstheme="majorBidi"/>
        </w:rPr>
        <w:t>s</w:t>
      </w:r>
      <w:r w:rsidR="00CE5C22" w:rsidRPr="00830D0E">
        <w:rPr>
          <w:rFonts w:asciiTheme="majorBidi" w:hAnsiTheme="majorBidi" w:cstheme="majorBidi"/>
        </w:rPr>
        <w:t xml:space="preserve"> deliver signs that explain how an aging adult will response to changes in environment, socioeconomic situations, or health. Individual modifications yield varied reactions to aging. There are four types of personalities</w:t>
      </w:r>
      <w:r w:rsidRPr="00830D0E">
        <w:rPr>
          <w:rFonts w:asciiTheme="majorBidi" w:hAnsiTheme="majorBidi" w:cstheme="majorBidi"/>
        </w:rPr>
        <w:t xml:space="preserve"> in the continuity theory. </w:t>
      </w:r>
      <w:r w:rsidR="0042361B" w:rsidRPr="00830D0E">
        <w:rPr>
          <w:rFonts w:asciiTheme="majorBidi" w:hAnsiTheme="majorBidi" w:cstheme="majorBidi"/>
        </w:rPr>
        <w:t xml:space="preserve">These types include integrated, passive-dependent, armored-defended, and unintegrated personality types. </w:t>
      </w:r>
      <w:r w:rsidRPr="00830D0E">
        <w:rPr>
          <w:rFonts w:asciiTheme="majorBidi" w:hAnsiTheme="majorBidi" w:cstheme="majorBidi"/>
        </w:rPr>
        <w:t>Mr. Dea fits into the category of the unintegrated personality. The unintegrated personality fails to adjust successfully to aging. Some tasks that need to be accomplished</w:t>
      </w:r>
      <w:r w:rsidR="0031013E" w:rsidRPr="00830D0E">
        <w:rPr>
          <w:rFonts w:asciiTheme="majorBidi" w:hAnsiTheme="majorBidi" w:cstheme="majorBidi"/>
        </w:rPr>
        <w:t xml:space="preserve"> are views about death, social decline, and a m</w:t>
      </w:r>
      <w:r w:rsidR="0098588A">
        <w:rPr>
          <w:rFonts w:asciiTheme="majorBidi" w:hAnsiTheme="majorBidi" w:cstheme="majorBidi"/>
        </w:rPr>
        <w:t>eaningful outlook on life’s end</w:t>
      </w:r>
      <w:r w:rsidR="00B43313">
        <w:rPr>
          <w:rFonts w:asciiTheme="majorBidi" w:hAnsiTheme="majorBidi" w:cstheme="majorBidi"/>
        </w:rPr>
        <w:t xml:space="preserve"> (Lange &amp;</w:t>
      </w:r>
      <w:r w:rsidR="0031013E" w:rsidRPr="00830D0E">
        <w:rPr>
          <w:rFonts w:asciiTheme="majorBidi" w:hAnsiTheme="majorBidi" w:cstheme="majorBidi"/>
        </w:rPr>
        <w:t xml:space="preserve"> Grossman, 2010</w:t>
      </w:r>
      <w:commentRangeStart w:id="3"/>
      <w:r w:rsidR="0031013E" w:rsidRPr="00830D0E">
        <w:rPr>
          <w:rFonts w:asciiTheme="majorBidi" w:hAnsiTheme="majorBidi" w:cstheme="majorBidi"/>
        </w:rPr>
        <w:t>, p. 54).</w:t>
      </w:r>
      <w:commentRangeEnd w:id="3"/>
      <w:r w:rsidR="001D4BC8">
        <w:rPr>
          <w:rStyle w:val="CommentReference"/>
        </w:rPr>
        <w:commentReference w:id="3"/>
      </w:r>
    </w:p>
    <w:p w:rsidR="00DA6578" w:rsidRDefault="0042361B" w:rsidP="00B43313">
      <w:pPr>
        <w:ind w:firstLine="720"/>
        <w:rPr>
          <w:rFonts w:asciiTheme="majorBidi" w:hAnsiTheme="majorBidi" w:cstheme="majorBidi"/>
        </w:rPr>
      </w:pPr>
      <w:r w:rsidRPr="00830D0E">
        <w:rPr>
          <w:rFonts w:asciiTheme="majorBidi" w:hAnsiTheme="majorBidi" w:cstheme="majorBidi"/>
        </w:rPr>
        <w:t xml:space="preserve">Application: </w:t>
      </w:r>
      <w:r w:rsidR="0031013E" w:rsidRPr="00830D0E">
        <w:rPr>
          <w:rFonts w:asciiTheme="majorBidi" w:hAnsiTheme="majorBidi" w:cstheme="majorBidi"/>
        </w:rPr>
        <w:t>Mr. Dea has not adapted to some of the tasks that need to be successfully completed. After the death of his wife, his social activity ended rat</w:t>
      </w:r>
      <w:r w:rsidR="0098588A">
        <w:rPr>
          <w:rFonts w:asciiTheme="majorBidi" w:hAnsiTheme="majorBidi" w:cstheme="majorBidi"/>
        </w:rPr>
        <w:t>h</w:t>
      </w:r>
      <w:r w:rsidR="0031013E" w:rsidRPr="00830D0E">
        <w:rPr>
          <w:rFonts w:asciiTheme="majorBidi" w:hAnsiTheme="majorBidi" w:cstheme="majorBidi"/>
        </w:rPr>
        <w:t>er abruptly</w:t>
      </w:r>
      <w:r w:rsidR="00B35FCD" w:rsidRPr="00830D0E">
        <w:rPr>
          <w:rFonts w:asciiTheme="majorBidi" w:hAnsiTheme="majorBidi" w:cstheme="majorBidi"/>
        </w:rPr>
        <w:t>. Moreover, his health has declined as evidenced by 14 pound weight gain in 2 ½ years</w:t>
      </w:r>
      <w:r w:rsidR="00B22D0A" w:rsidRPr="00830D0E">
        <w:rPr>
          <w:rFonts w:asciiTheme="majorBidi" w:hAnsiTheme="majorBidi" w:cstheme="majorBidi"/>
        </w:rPr>
        <w:t>, decline in physical activity and</w:t>
      </w:r>
      <w:r w:rsidR="00B35FCD" w:rsidRPr="00830D0E">
        <w:rPr>
          <w:rFonts w:asciiTheme="majorBidi" w:hAnsiTheme="majorBidi" w:cstheme="majorBidi"/>
        </w:rPr>
        <w:t xml:space="preserve"> not keeping up his routine visits to his doctor</w:t>
      </w:r>
      <w:r w:rsidR="00B22D0A" w:rsidRPr="00830D0E">
        <w:rPr>
          <w:rFonts w:asciiTheme="majorBidi" w:hAnsiTheme="majorBidi" w:cstheme="majorBidi"/>
        </w:rPr>
        <w:t>. Healthy meals are not consumed by Mr. Dea and he has recently started sm</w:t>
      </w:r>
      <w:r w:rsidR="00B43313">
        <w:rPr>
          <w:rFonts w:asciiTheme="majorBidi" w:hAnsiTheme="majorBidi" w:cstheme="majorBidi"/>
        </w:rPr>
        <w:t>oking a nightly cigar (Lange &amp;</w:t>
      </w:r>
      <w:r w:rsidR="00B22D0A" w:rsidRPr="00830D0E">
        <w:rPr>
          <w:rFonts w:asciiTheme="majorBidi" w:hAnsiTheme="majorBidi" w:cstheme="majorBidi"/>
        </w:rPr>
        <w:t xml:space="preserve"> Grossman, 2010</w:t>
      </w:r>
      <w:commentRangeStart w:id="4"/>
      <w:r w:rsidR="00B22D0A" w:rsidRPr="00830D0E">
        <w:rPr>
          <w:rFonts w:asciiTheme="majorBidi" w:hAnsiTheme="majorBidi" w:cstheme="majorBidi"/>
        </w:rPr>
        <w:t>, p. 65).</w:t>
      </w:r>
      <w:commentRangeEnd w:id="4"/>
      <w:r w:rsidR="001D4BC8">
        <w:rPr>
          <w:rStyle w:val="CommentReference"/>
        </w:rPr>
        <w:commentReference w:id="4"/>
      </w:r>
    </w:p>
    <w:p w:rsidR="00F77C50" w:rsidRPr="00F77C50" w:rsidRDefault="00F77C50" w:rsidP="00B43313">
      <w:pPr>
        <w:ind w:firstLine="720"/>
        <w:jc w:val="center"/>
        <w:rPr>
          <w:rFonts w:asciiTheme="majorBidi" w:hAnsiTheme="majorBidi" w:cstheme="majorBidi"/>
        </w:rPr>
      </w:pPr>
    </w:p>
    <w:p w:rsidR="00B22D0A" w:rsidRPr="00F77C50" w:rsidRDefault="00B22D0A" w:rsidP="00B43313">
      <w:pPr>
        <w:ind w:firstLine="720"/>
        <w:rPr>
          <w:rFonts w:asciiTheme="majorBidi" w:hAnsiTheme="majorBidi" w:cstheme="majorBidi"/>
        </w:rPr>
      </w:pPr>
    </w:p>
    <w:p w:rsidR="0099095A" w:rsidRPr="00C926D9" w:rsidRDefault="0099095A" w:rsidP="00B43313">
      <w:pPr>
        <w:ind w:firstLine="720"/>
        <w:jc w:val="center"/>
        <w:rPr>
          <w:rFonts w:asciiTheme="majorBidi" w:hAnsiTheme="majorBidi" w:cstheme="majorBidi"/>
        </w:rPr>
      </w:pPr>
      <w:r w:rsidRPr="00C926D9">
        <w:rPr>
          <w:rFonts w:asciiTheme="majorBidi" w:hAnsiTheme="majorBidi" w:cstheme="majorBidi"/>
        </w:rPr>
        <w:t>Possible Mental Diagnosis</w:t>
      </w:r>
    </w:p>
    <w:p w:rsidR="0031013E" w:rsidRDefault="0031013E" w:rsidP="00B43313">
      <w:pPr>
        <w:ind w:firstLine="720"/>
        <w:rPr>
          <w:rFonts w:asciiTheme="majorBidi" w:hAnsiTheme="majorBidi" w:cstheme="majorBidi"/>
        </w:rPr>
      </w:pPr>
      <w:r w:rsidRPr="00830D0E">
        <w:rPr>
          <w:rFonts w:asciiTheme="majorBidi" w:hAnsiTheme="majorBidi" w:cstheme="majorBidi"/>
        </w:rPr>
        <w:t xml:space="preserve">Additionally, Mr. Dea seems to be suffering from </w:t>
      </w:r>
      <w:r w:rsidR="00DA6578" w:rsidRPr="00830D0E">
        <w:rPr>
          <w:rFonts w:asciiTheme="majorBidi" w:hAnsiTheme="majorBidi" w:cstheme="majorBidi"/>
        </w:rPr>
        <w:t>d</w:t>
      </w:r>
      <w:r w:rsidRPr="00830D0E">
        <w:rPr>
          <w:rFonts w:asciiTheme="majorBidi" w:hAnsiTheme="majorBidi" w:cstheme="majorBidi"/>
        </w:rPr>
        <w:t xml:space="preserve">epression due to the death of his wife. </w:t>
      </w:r>
      <w:r w:rsidR="00DA6578" w:rsidRPr="00830D0E">
        <w:rPr>
          <w:rFonts w:asciiTheme="majorBidi" w:hAnsiTheme="majorBidi" w:cstheme="majorBidi"/>
        </w:rPr>
        <w:t>Depression is the most predominant mental health condition amidst older adults. 7.7% of adults over the age of 50 have existing depression while about 15.7% have had a lifelong diagnosis</w:t>
      </w:r>
      <w:bookmarkStart w:id="5" w:name="_GoBack"/>
      <w:bookmarkEnd w:id="5"/>
      <w:r w:rsidR="00744D43" w:rsidRPr="00830D0E">
        <w:rPr>
          <w:rFonts w:asciiTheme="majorBidi" w:hAnsiTheme="majorBidi" w:cstheme="majorBidi"/>
        </w:rPr>
        <w:t xml:space="preserve"> </w:t>
      </w:r>
      <w:r w:rsidR="00830D0E" w:rsidRPr="00830D0E">
        <w:rPr>
          <w:rFonts w:asciiTheme="majorBidi" w:hAnsiTheme="majorBidi" w:cstheme="majorBidi"/>
        </w:rPr>
        <w:t>(Keltner, Bostrom, &amp; McGuinness, 2010</w:t>
      </w:r>
      <w:commentRangeStart w:id="6"/>
      <w:r w:rsidR="0099095A">
        <w:rPr>
          <w:rFonts w:asciiTheme="majorBidi" w:hAnsiTheme="majorBidi" w:cstheme="majorBidi"/>
        </w:rPr>
        <w:t>,</w:t>
      </w:r>
      <w:r w:rsidR="00830D0E">
        <w:rPr>
          <w:rFonts w:asciiTheme="majorBidi" w:hAnsiTheme="majorBidi" w:cstheme="majorBidi"/>
        </w:rPr>
        <w:t xml:space="preserve"> p. 472</w:t>
      </w:r>
      <w:r w:rsidR="00830D0E" w:rsidRPr="00830D0E">
        <w:rPr>
          <w:rFonts w:asciiTheme="majorBidi" w:hAnsiTheme="majorBidi" w:cstheme="majorBidi"/>
        </w:rPr>
        <w:t>)</w:t>
      </w:r>
      <w:r w:rsidR="00830D0E">
        <w:rPr>
          <w:rFonts w:asciiTheme="majorBidi" w:hAnsiTheme="majorBidi" w:cstheme="majorBidi"/>
        </w:rPr>
        <w:t>.</w:t>
      </w:r>
      <w:commentRangeEnd w:id="6"/>
      <w:r w:rsidR="001D4BC8">
        <w:rPr>
          <w:rStyle w:val="CommentReference"/>
        </w:rPr>
        <w:commentReference w:id="6"/>
      </w:r>
    </w:p>
    <w:p w:rsidR="00C032ED" w:rsidRDefault="00C032ED" w:rsidP="00B43313">
      <w:pPr>
        <w:ind w:firstLine="720"/>
        <w:rPr>
          <w:rFonts w:asciiTheme="majorBidi" w:hAnsiTheme="majorBidi" w:cstheme="majorBidi"/>
        </w:rPr>
      </w:pPr>
      <w:r w:rsidRPr="00C032ED">
        <w:rPr>
          <w:rFonts w:asciiTheme="majorBidi" w:hAnsiTheme="majorBidi" w:cstheme="majorBidi"/>
        </w:rPr>
        <w:t xml:space="preserve">Loneliness may perhaps </w:t>
      </w:r>
      <w:r>
        <w:rPr>
          <w:rFonts w:asciiTheme="majorBidi" w:hAnsiTheme="majorBidi" w:cstheme="majorBidi"/>
        </w:rPr>
        <w:t xml:space="preserve">increase the chances of developing depression. </w:t>
      </w:r>
      <w:proofErr w:type="gramStart"/>
      <w:r>
        <w:rPr>
          <w:rFonts w:asciiTheme="majorBidi" w:hAnsiTheme="majorBidi" w:cstheme="majorBidi"/>
        </w:rPr>
        <w:t>According to Keltner and Sapp (2010)</w:t>
      </w:r>
      <w:r w:rsidR="0099095A">
        <w:rPr>
          <w:rFonts w:asciiTheme="majorBidi" w:hAnsiTheme="majorBidi" w:cstheme="majorBidi"/>
        </w:rPr>
        <w:t xml:space="preserve"> “People with depression are more likely to smoke, drink alcohol excessively, be physically inactive, and have poorer eating habits than those who are not depressed”</w:t>
      </w:r>
      <w:r w:rsidR="00B43313">
        <w:rPr>
          <w:rFonts w:asciiTheme="majorBidi" w:hAnsiTheme="majorBidi" w:cstheme="majorBidi"/>
        </w:rPr>
        <w:t xml:space="preserve"> (Keltner et. al.</w:t>
      </w:r>
      <w:r w:rsidR="0099095A">
        <w:rPr>
          <w:rFonts w:asciiTheme="majorBidi" w:hAnsiTheme="majorBidi" w:cstheme="majorBidi"/>
        </w:rPr>
        <w:t xml:space="preserve">, 2010, </w:t>
      </w:r>
      <w:commentRangeStart w:id="7"/>
      <w:r w:rsidR="0099095A">
        <w:rPr>
          <w:rFonts w:asciiTheme="majorBidi" w:hAnsiTheme="majorBidi" w:cstheme="majorBidi"/>
        </w:rPr>
        <w:t>p. 473-474).</w:t>
      </w:r>
      <w:commentRangeEnd w:id="7"/>
      <w:proofErr w:type="gramEnd"/>
      <w:r w:rsidR="001D4BC8">
        <w:rPr>
          <w:rStyle w:val="CommentReference"/>
        </w:rPr>
        <w:commentReference w:id="7"/>
      </w:r>
    </w:p>
    <w:p w:rsidR="0099095A" w:rsidRDefault="0099095A" w:rsidP="00B43313">
      <w:pPr>
        <w:ind w:firstLine="720"/>
        <w:rPr>
          <w:rFonts w:asciiTheme="majorBidi" w:hAnsiTheme="majorBidi" w:cstheme="majorBidi"/>
        </w:rPr>
      </w:pPr>
      <w:r>
        <w:rPr>
          <w:rFonts w:asciiTheme="majorBidi" w:hAnsiTheme="majorBidi" w:cstheme="majorBidi"/>
        </w:rPr>
        <w:t>Application:</w:t>
      </w:r>
      <w:r w:rsidR="00794EA8">
        <w:rPr>
          <w:rFonts w:asciiTheme="majorBidi" w:hAnsiTheme="majorBidi" w:cstheme="majorBidi"/>
        </w:rPr>
        <w:t xml:space="preserve"> Mr. Ronald Dea’s physical and social activity declined after the death of his wife. He reports lack of energy and substandard eating habits. He has hemochromatosis but has delayed seeing his specialist. </w:t>
      </w:r>
      <w:r w:rsidR="0019078B">
        <w:rPr>
          <w:rFonts w:asciiTheme="majorBidi" w:hAnsiTheme="majorBidi" w:cstheme="majorBidi"/>
        </w:rPr>
        <w:t>Mr. Dea has not moved any of</w:t>
      </w:r>
      <w:r w:rsidR="00E7551A">
        <w:rPr>
          <w:rFonts w:asciiTheme="majorBidi" w:hAnsiTheme="majorBidi" w:cstheme="majorBidi"/>
        </w:rPr>
        <w:t xml:space="preserve"> his wife’s belongings and his</w:t>
      </w:r>
      <w:r w:rsidR="0019078B">
        <w:rPr>
          <w:rFonts w:asciiTheme="majorBidi" w:hAnsiTheme="majorBidi" w:cstheme="majorBidi"/>
        </w:rPr>
        <w:t xml:space="preserve"> bedroom remains unchanged. He has gained weight of 14 pounds in 2 ½ years and smokes a cigar almost every night</w:t>
      </w:r>
      <w:r w:rsidR="00F74EEE">
        <w:rPr>
          <w:rFonts w:asciiTheme="majorBidi" w:hAnsiTheme="majorBidi" w:cstheme="majorBidi"/>
        </w:rPr>
        <w:t xml:space="preserve"> </w:t>
      </w:r>
      <w:r w:rsidR="00B43313">
        <w:rPr>
          <w:rFonts w:asciiTheme="majorBidi" w:hAnsiTheme="majorBidi" w:cstheme="majorBidi"/>
        </w:rPr>
        <w:t>(Lange &amp;</w:t>
      </w:r>
      <w:r w:rsidR="00F74EEE" w:rsidRPr="00830D0E">
        <w:rPr>
          <w:rFonts w:asciiTheme="majorBidi" w:hAnsiTheme="majorBidi" w:cstheme="majorBidi"/>
        </w:rPr>
        <w:t xml:space="preserve"> Grossman, 2010</w:t>
      </w:r>
      <w:commentRangeStart w:id="8"/>
      <w:r w:rsidR="00F74EEE" w:rsidRPr="00830D0E">
        <w:rPr>
          <w:rFonts w:asciiTheme="majorBidi" w:hAnsiTheme="majorBidi" w:cstheme="majorBidi"/>
        </w:rPr>
        <w:t>, p. 65).</w:t>
      </w:r>
      <w:commentRangeEnd w:id="8"/>
      <w:r w:rsidR="001D4BC8">
        <w:rPr>
          <w:rStyle w:val="CommentReference"/>
        </w:rPr>
        <w:commentReference w:id="8"/>
      </w:r>
    </w:p>
    <w:p w:rsidR="00F74EEE" w:rsidRDefault="00F74EEE" w:rsidP="00B43313">
      <w:pPr>
        <w:ind w:firstLine="720"/>
        <w:jc w:val="center"/>
        <w:rPr>
          <w:rFonts w:asciiTheme="majorBidi" w:hAnsiTheme="majorBidi" w:cstheme="majorBidi"/>
        </w:rPr>
      </w:pPr>
      <w:r>
        <w:rPr>
          <w:rFonts w:asciiTheme="majorBidi" w:hAnsiTheme="majorBidi" w:cstheme="majorBidi"/>
        </w:rPr>
        <w:t>Recommendations</w:t>
      </w:r>
    </w:p>
    <w:p w:rsidR="00A91B97" w:rsidRDefault="00F74EEE" w:rsidP="00B43313">
      <w:pPr>
        <w:ind w:firstLine="720"/>
        <w:rPr>
          <w:rFonts w:asciiTheme="majorBidi" w:hAnsiTheme="majorBidi" w:cstheme="majorBidi"/>
        </w:rPr>
      </w:pPr>
      <w:r>
        <w:rPr>
          <w:rFonts w:asciiTheme="majorBidi" w:hAnsiTheme="majorBidi" w:cstheme="majorBidi"/>
        </w:rPr>
        <w:t xml:space="preserve">There are many living arrangements that </w:t>
      </w:r>
      <w:r w:rsidR="00FD0051">
        <w:rPr>
          <w:rFonts w:asciiTheme="majorBidi" w:hAnsiTheme="majorBidi" w:cstheme="majorBidi"/>
        </w:rPr>
        <w:t>may</w:t>
      </w:r>
      <w:r>
        <w:rPr>
          <w:rFonts w:asciiTheme="majorBidi" w:hAnsiTheme="majorBidi" w:cstheme="majorBidi"/>
        </w:rPr>
        <w:t xml:space="preserve"> help Mr. Ronald Dea support his independence. </w:t>
      </w:r>
      <w:r w:rsidR="00FD0051">
        <w:rPr>
          <w:rFonts w:asciiTheme="majorBidi" w:hAnsiTheme="majorBidi" w:cstheme="majorBidi"/>
        </w:rPr>
        <w:t xml:space="preserve">Home health care can foster independence while tailoring to his physical and emotional wellbeing. Heath care personnel come on a routine basis to assess and </w:t>
      </w:r>
      <w:r w:rsidR="0073229C">
        <w:rPr>
          <w:rFonts w:asciiTheme="majorBidi" w:hAnsiTheme="majorBidi" w:cstheme="majorBidi"/>
        </w:rPr>
        <w:t>possibly treat</w:t>
      </w:r>
      <w:r w:rsidR="00FD0051">
        <w:rPr>
          <w:rFonts w:asciiTheme="majorBidi" w:hAnsiTheme="majorBidi" w:cstheme="majorBidi"/>
        </w:rPr>
        <w:t xml:space="preserve"> any issues</w:t>
      </w:r>
      <w:r w:rsidR="0073229C">
        <w:rPr>
          <w:rFonts w:asciiTheme="majorBidi" w:hAnsiTheme="majorBidi" w:cstheme="majorBidi"/>
        </w:rPr>
        <w:t xml:space="preserve"> he may have</w:t>
      </w:r>
      <w:r w:rsidR="00B43313">
        <w:rPr>
          <w:rFonts w:asciiTheme="majorBidi" w:hAnsiTheme="majorBidi" w:cstheme="majorBidi"/>
        </w:rPr>
        <w:t xml:space="preserve"> (Lange &amp;</w:t>
      </w:r>
      <w:r w:rsidR="00A91B97">
        <w:rPr>
          <w:rFonts w:asciiTheme="majorBidi" w:hAnsiTheme="majorBidi" w:cstheme="majorBidi"/>
        </w:rPr>
        <w:t xml:space="preserve"> Grossman, 2010</w:t>
      </w:r>
      <w:commentRangeStart w:id="9"/>
      <w:r w:rsidR="00A91B97">
        <w:rPr>
          <w:rFonts w:asciiTheme="majorBidi" w:hAnsiTheme="majorBidi" w:cstheme="majorBidi"/>
        </w:rPr>
        <w:t>, p. 17).</w:t>
      </w:r>
      <w:commentRangeEnd w:id="9"/>
      <w:r w:rsidR="001D4BC8">
        <w:rPr>
          <w:rStyle w:val="CommentReference"/>
        </w:rPr>
        <w:commentReference w:id="9"/>
      </w:r>
    </w:p>
    <w:p w:rsidR="00F74EEE" w:rsidRDefault="0073229C" w:rsidP="00B43313">
      <w:pPr>
        <w:ind w:firstLine="720"/>
        <w:rPr>
          <w:rFonts w:asciiTheme="majorBidi" w:hAnsiTheme="majorBidi" w:cstheme="majorBidi"/>
        </w:rPr>
      </w:pPr>
      <w:r>
        <w:rPr>
          <w:rFonts w:asciiTheme="majorBidi" w:hAnsiTheme="majorBidi" w:cstheme="majorBidi"/>
        </w:rPr>
        <w:lastRenderedPageBreak/>
        <w:t>An assisted living facility will aid Mr. Dea with activities of daily living and also instrumental activities of daily living. He will have to move out of his home but will be guaranteed private, personal space</w:t>
      </w:r>
      <w:r w:rsidR="00A91B97">
        <w:rPr>
          <w:rFonts w:asciiTheme="majorBidi" w:hAnsiTheme="majorBidi" w:cstheme="majorBidi"/>
        </w:rPr>
        <w:t>. A group home is like an assisted living facility with more individualized attention. Both options additionally promote social activity with many of t</w:t>
      </w:r>
      <w:r w:rsidR="00B43313">
        <w:rPr>
          <w:rFonts w:asciiTheme="majorBidi" w:hAnsiTheme="majorBidi" w:cstheme="majorBidi"/>
        </w:rPr>
        <w:t>he choices they offer (Lange &amp;</w:t>
      </w:r>
      <w:r w:rsidR="00A91B97">
        <w:rPr>
          <w:rFonts w:asciiTheme="majorBidi" w:hAnsiTheme="majorBidi" w:cstheme="majorBidi"/>
        </w:rPr>
        <w:t xml:space="preserve"> Grossman, 2010, </w:t>
      </w:r>
      <w:commentRangeStart w:id="10"/>
      <w:r w:rsidR="00A91B97">
        <w:rPr>
          <w:rFonts w:asciiTheme="majorBidi" w:hAnsiTheme="majorBidi" w:cstheme="majorBidi"/>
        </w:rPr>
        <w:t>p.</w:t>
      </w:r>
      <w:r w:rsidR="00425622">
        <w:rPr>
          <w:rFonts w:asciiTheme="majorBidi" w:hAnsiTheme="majorBidi" w:cstheme="majorBidi"/>
        </w:rPr>
        <w:t xml:space="preserve"> 19-21</w:t>
      </w:r>
      <w:r w:rsidR="00A91B97">
        <w:rPr>
          <w:rFonts w:asciiTheme="majorBidi" w:hAnsiTheme="majorBidi" w:cstheme="majorBidi"/>
        </w:rPr>
        <w:t>)</w:t>
      </w:r>
      <w:r w:rsidR="00425622">
        <w:rPr>
          <w:rFonts w:asciiTheme="majorBidi" w:hAnsiTheme="majorBidi" w:cstheme="majorBidi"/>
        </w:rPr>
        <w:t xml:space="preserve">. </w:t>
      </w:r>
      <w:commentRangeEnd w:id="10"/>
      <w:r w:rsidR="001D4BC8">
        <w:rPr>
          <w:rStyle w:val="CommentReference"/>
        </w:rPr>
        <w:commentReference w:id="10"/>
      </w:r>
    </w:p>
    <w:p w:rsidR="001249C8" w:rsidRDefault="00425622" w:rsidP="00B43313">
      <w:pPr>
        <w:ind w:firstLine="720"/>
        <w:rPr>
          <w:rFonts w:asciiTheme="majorBidi" w:hAnsiTheme="majorBidi" w:cstheme="majorBidi"/>
        </w:rPr>
      </w:pPr>
      <w:r>
        <w:rPr>
          <w:rFonts w:asciiTheme="majorBidi" w:hAnsiTheme="majorBidi" w:cstheme="majorBidi"/>
        </w:rPr>
        <w:t xml:space="preserve">Health needs are always a top priority. Management of his chronic condition should be evaluated first. A mental status exam will hopefully show mental conditions that need to be treated. Patient teaching regarding healthy meals and physical activity can be done by a nurse or dietician. If he decides to stay at home, he needs to have access to nutritious foods and physical activity. </w:t>
      </w:r>
      <w:r w:rsidR="001249C8">
        <w:rPr>
          <w:rFonts w:asciiTheme="majorBidi" w:hAnsiTheme="majorBidi" w:cstheme="majorBidi"/>
        </w:rPr>
        <w:t>Also, Mr. Dea should be encourage</w:t>
      </w:r>
      <w:r w:rsidR="00595063">
        <w:rPr>
          <w:rFonts w:asciiTheme="majorBidi" w:hAnsiTheme="majorBidi" w:cstheme="majorBidi"/>
        </w:rPr>
        <w:t>d</w:t>
      </w:r>
      <w:r w:rsidR="001249C8">
        <w:rPr>
          <w:rFonts w:asciiTheme="majorBidi" w:hAnsiTheme="majorBidi" w:cstheme="majorBidi"/>
        </w:rPr>
        <w:t xml:space="preserve"> to stop smoking</w:t>
      </w:r>
      <w:r w:rsidR="00595063">
        <w:rPr>
          <w:rFonts w:asciiTheme="majorBidi" w:hAnsiTheme="majorBidi" w:cstheme="majorBidi"/>
        </w:rPr>
        <w:t>.</w:t>
      </w:r>
    </w:p>
    <w:p w:rsidR="00425622" w:rsidRDefault="001249C8" w:rsidP="00B43313">
      <w:pPr>
        <w:ind w:firstLine="720"/>
        <w:rPr>
          <w:rFonts w:asciiTheme="majorBidi" w:hAnsiTheme="majorBidi" w:cstheme="majorBidi"/>
        </w:rPr>
      </w:pPr>
      <w:r>
        <w:rPr>
          <w:rFonts w:asciiTheme="majorBidi" w:hAnsiTheme="majorBidi" w:cstheme="majorBidi"/>
        </w:rPr>
        <w:t>Concerning retirement, Mr. Dea’s work has been the only thing he current does. The author</w:t>
      </w:r>
      <w:r w:rsidR="00595063">
        <w:rPr>
          <w:rFonts w:asciiTheme="majorBidi" w:hAnsiTheme="majorBidi" w:cstheme="majorBidi"/>
        </w:rPr>
        <w:t xml:space="preserve"> of this paper</w:t>
      </w:r>
      <w:r>
        <w:rPr>
          <w:rFonts w:asciiTheme="majorBidi" w:hAnsiTheme="majorBidi" w:cstheme="majorBidi"/>
        </w:rPr>
        <w:t xml:space="preserve"> feels that he should retire, since this was in his original plan. However, he needs</w:t>
      </w:r>
      <w:r w:rsidR="007204AD">
        <w:rPr>
          <w:rFonts w:asciiTheme="majorBidi" w:hAnsiTheme="majorBidi" w:cstheme="majorBidi"/>
        </w:rPr>
        <w:t xml:space="preserve"> to fill that void in his life. Moving in with his daughter may negatively affect the independence he desires. If he lives with his daughter, she will need to be educate</w:t>
      </w:r>
      <w:r w:rsidR="00595063">
        <w:rPr>
          <w:rFonts w:asciiTheme="majorBidi" w:hAnsiTheme="majorBidi" w:cstheme="majorBidi"/>
        </w:rPr>
        <w:t>d</w:t>
      </w:r>
      <w:r w:rsidR="007204AD">
        <w:rPr>
          <w:rFonts w:asciiTheme="majorBidi" w:hAnsiTheme="majorBidi" w:cstheme="majorBidi"/>
        </w:rPr>
        <w:t xml:space="preserve"> about his daily need</w:t>
      </w:r>
      <w:r w:rsidR="00595063">
        <w:rPr>
          <w:rFonts w:asciiTheme="majorBidi" w:hAnsiTheme="majorBidi" w:cstheme="majorBidi"/>
        </w:rPr>
        <w:t>s. If he decides to stay at home, he should be referred to home health services like the Visiting Nurses Association, Department of Rehabilitation, and Meals on Wheels. This author also feels that</w:t>
      </w:r>
      <w:r w:rsidR="0098588A">
        <w:rPr>
          <w:rFonts w:asciiTheme="majorBidi" w:hAnsiTheme="majorBidi" w:cstheme="majorBidi"/>
        </w:rPr>
        <w:t xml:space="preserve"> home health or an assisted living facility would best serve all of Mr. Dea’s needs. He would be able to retain </w:t>
      </w:r>
      <w:r w:rsidR="00E7551A">
        <w:rPr>
          <w:rFonts w:asciiTheme="majorBidi" w:hAnsiTheme="majorBidi" w:cstheme="majorBidi"/>
        </w:rPr>
        <w:t>h</w:t>
      </w:r>
      <w:r w:rsidR="0098588A">
        <w:rPr>
          <w:rFonts w:asciiTheme="majorBidi" w:hAnsiTheme="majorBidi" w:cstheme="majorBidi"/>
        </w:rPr>
        <w:t xml:space="preserve">is independence while receiving medical, social, and mental support. </w:t>
      </w:r>
    </w:p>
    <w:p w:rsidR="00F74EEE" w:rsidRDefault="00F74EEE" w:rsidP="00F74EEE">
      <w:pPr>
        <w:ind w:firstLine="720"/>
        <w:jc w:val="center"/>
        <w:rPr>
          <w:rFonts w:asciiTheme="majorBidi" w:hAnsiTheme="majorBidi" w:cstheme="majorBidi"/>
        </w:rPr>
      </w:pPr>
    </w:p>
    <w:p w:rsidR="00F74EEE" w:rsidRPr="00C032ED" w:rsidRDefault="00F74EEE" w:rsidP="00F74EEE">
      <w:pPr>
        <w:ind w:firstLine="720"/>
        <w:jc w:val="center"/>
        <w:rPr>
          <w:rFonts w:asciiTheme="majorBidi" w:hAnsiTheme="majorBidi" w:cstheme="majorBidi"/>
        </w:rPr>
      </w:pPr>
    </w:p>
    <w:p w:rsidR="00EF4ACA" w:rsidRPr="00C032ED" w:rsidRDefault="00EF4ACA">
      <w:pPr>
        <w:rPr>
          <w:rFonts w:asciiTheme="majorBidi" w:hAnsiTheme="majorBidi" w:cstheme="majorBidi"/>
        </w:rPr>
      </w:pPr>
      <w:r w:rsidRPr="00C032ED">
        <w:rPr>
          <w:rFonts w:asciiTheme="majorBidi" w:hAnsiTheme="majorBidi" w:cstheme="majorBidi"/>
        </w:rPr>
        <w:br w:type="page"/>
      </w:r>
    </w:p>
    <w:p w:rsidR="00EF4ACA" w:rsidRPr="00C032ED" w:rsidRDefault="00EF4ACA" w:rsidP="00EF4ACA">
      <w:pPr>
        <w:ind w:firstLine="720"/>
        <w:jc w:val="center"/>
        <w:rPr>
          <w:rFonts w:asciiTheme="majorBidi" w:hAnsiTheme="majorBidi" w:cstheme="majorBidi"/>
          <w:lang w:val="da-DK"/>
        </w:rPr>
      </w:pPr>
      <w:r w:rsidRPr="00C032ED">
        <w:rPr>
          <w:rFonts w:asciiTheme="majorBidi" w:hAnsiTheme="majorBidi" w:cstheme="majorBidi"/>
          <w:lang w:val="da-DK"/>
        </w:rPr>
        <w:lastRenderedPageBreak/>
        <w:t>References</w:t>
      </w:r>
    </w:p>
    <w:p w:rsidR="00640220" w:rsidRPr="009D434D" w:rsidRDefault="00EF4ACA" w:rsidP="009D434D">
      <w:pPr>
        <w:contextualSpacing/>
        <w:rPr>
          <w:rFonts w:asciiTheme="majorBidi" w:hAnsiTheme="majorBidi" w:cstheme="majorBidi"/>
          <w:i/>
        </w:rPr>
      </w:pPr>
      <w:commentRangeStart w:id="11"/>
      <w:r w:rsidRPr="009D434D">
        <w:rPr>
          <w:rFonts w:asciiTheme="majorBidi" w:hAnsiTheme="majorBidi" w:cstheme="majorBidi"/>
          <w:lang w:val="da-DK"/>
        </w:rPr>
        <w:t xml:space="preserve">Keltner, N. L., &amp; Sapp, A. J. (2010). </w:t>
      </w:r>
      <w:r w:rsidRPr="00B43313">
        <w:rPr>
          <w:rFonts w:asciiTheme="majorBidi" w:hAnsiTheme="majorBidi" w:cstheme="majorBidi"/>
        </w:rPr>
        <w:t xml:space="preserve">Mental Disorders in Older Adults. </w:t>
      </w:r>
      <w:r w:rsidRPr="007542A9">
        <w:rPr>
          <w:rFonts w:asciiTheme="majorBidi" w:hAnsiTheme="majorBidi" w:cstheme="majorBidi"/>
        </w:rPr>
        <w:t xml:space="preserve">In N. L. Keltner, C. E. Bostrom, &amp; T. M. McGuinness (Eds.), </w:t>
      </w:r>
      <w:r w:rsidRPr="007542A9">
        <w:rPr>
          <w:rFonts w:asciiTheme="majorBidi" w:hAnsiTheme="majorBidi" w:cstheme="majorBidi"/>
          <w:i/>
          <w:iCs/>
        </w:rPr>
        <w:t>Psychiatric Nursing</w:t>
      </w:r>
      <w:r w:rsidRPr="007542A9">
        <w:rPr>
          <w:rFonts w:asciiTheme="majorBidi" w:hAnsiTheme="majorBidi" w:cstheme="majorBidi"/>
        </w:rPr>
        <w:t xml:space="preserve"> (6th ed., pp. 469-487.). </w:t>
      </w:r>
      <w:r w:rsidRPr="009D434D">
        <w:rPr>
          <w:rFonts w:asciiTheme="majorBidi" w:hAnsiTheme="majorBidi" w:cstheme="majorBidi"/>
        </w:rPr>
        <w:t>St. Louis, M</w:t>
      </w:r>
      <w:r w:rsidR="00640220" w:rsidRPr="009D434D">
        <w:rPr>
          <w:rFonts w:asciiTheme="majorBidi" w:hAnsiTheme="majorBidi" w:cstheme="majorBidi"/>
        </w:rPr>
        <w:t xml:space="preserve"> Burns, N., &amp; Grove, S. (2009). </w:t>
      </w:r>
      <w:r w:rsidR="00640220" w:rsidRPr="009D434D">
        <w:rPr>
          <w:rFonts w:asciiTheme="majorBidi" w:hAnsiTheme="majorBidi" w:cstheme="majorBidi"/>
          <w:i/>
          <w:iCs/>
        </w:rPr>
        <w:t>The practice of nursing research</w:t>
      </w:r>
      <w:r w:rsidR="00640220" w:rsidRPr="009D434D">
        <w:rPr>
          <w:rFonts w:asciiTheme="majorBidi" w:hAnsiTheme="majorBidi" w:cstheme="majorBidi"/>
        </w:rPr>
        <w:t xml:space="preserve"> (6th ed.). St. Louis, MO: Saunders Elsevier.</w:t>
      </w:r>
      <w:commentRangeEnd w:id="11"/>
      <w:r w:rsidR="001D4BC8">
        <w:rPr>
          <w:rStyle w:val="CommentReference"/>
        </w:rPr>
        <w:commentReference w:id="11"/>
      </w:r>
    </w:p>
    <w:p w:rsidR="00EF4ACA" w:rsidRPr="009D434D" w:rsidRDefault="009D434D" w:rsidP="009D434D">
      <w:pPr>
        <w:rPr>
          <w:rFonts w:asciiTheme="majorBidi" w:hAnsiTheme="majorBidi" w:cstheme="majorBidi"/>
        </w:rPr>
      </w:pPr>
      <w:r w:rsidRPr="009D434D">
        <w:rPr>
          <w:rFonts w:asciiTheme="majorBidi" w:hAnsiTheme="majorBidi" w:cstheme="majorBidi"/>
        </w:rPr>
        <w:t xml:space="preserve">Lange, J., &amp; Grossman, S. (2009). Theories of Aging. In K. L. Mauk (Ed.), </w:t>
      </w:r>
      <w:proofErr w:type="spellStart"/>
      <w:r w:rsidRPr="009D434D">
        <w:rPr>
          <w:rFonts w:asciiTheme="majorBidi" w:hAnsiTheme="majorBidi" w:cstheme="majorBidi"/>
          <w:i/>
          <w:iCs/>
        </w:rPr>
        <w:t>Gerontological</w:t>
      </w:r>
      <w:proofErr w:type="spellEnd"/>
      <w:r w:rsidRPr="009D434D">
        <w:rPr>
          <w:rFonts w:asciiTheme="majorBidi" w:hAnsiTheme="majorBidi" w:cstheme="majorBidi"/>
          <w:i/>
          <w:iCs/>
        </w:rPr>
        <w:t xml:space="preserve"> nursing: </w:t>
      </w:r>
      <w:commentRangeStart w:id="12"/>
      <w:r w:rsidRPr="009D434D">
        <w:rPr>
          <w:rFonts w:asciiTheme="majorBidi" w:hAnsiTheme="majorBidi" w:cstheme="majorBidi"/>
          <w:i/>
          <w:iCs/>
        </w:rPr>
        <w:t>c</w:t>
      </w:r>
      <w:commentRangeEnd w:id="12"/>
      <w:r w:rsidR="001D4BC8">
        <w:rPr>
          <w:rStyle w:val="CommentReference"/>
        </w:rPr>
        <w:commentReference w:id="12"/>
      </w:r>
      <w:r w:rsidRPr="009D434D">
        <w:rPr>
          <w:rFonts w:asciiTheme="majorBidi" w:hAnsiTheme="majorBidi" w:cstheme="majorBidi"/>
          <w:i/>
          <w:iCs/>
        </w:rPr>
        <w:t>ompetencies for care</w:t>
      </w:r>
      <w:r w:rsidRPr="009D434D">
        <w:rPr>
          <w:rFonts w:asciiTheme="majorBidi" w:hAnsiTheme="majorBidi" w:cstheme="majorBidi"/>
        </w:rPr>
        <w:t xml:space="preserve"> (2nd ed., pp. 54-66). Sudbury, MA: Jones and Bartlett </w:t>
      </w:r>
      <w:commentRangeStart w:id="13"/>
      <w:r w:rsidRPr="009D434D">
        <w:rPr>
          <w:rFonts w:asciiTheme="majorBidi" w:hAnsiTheme="majorBidi" w:cstheme="majorBidi"/>
        </w:rPr>
        <w:t>Publisher.</w:t>
      </w:r>
      <w:commentRangeEnd w:id="13"/>
      <w:r w:rsidR="001D4BC8">
        <w:rPr>
          <w:rStyle w:val="CommentReference"/>
        </w:rPr>
        <w:commentReference w:id="13"/>
      </w:r>
    </w:p>
    <w:p w:rsidR="00A35BB2" w:rsidRPr="009D434D" w:rsidRDefault="009D434D" w:rsidP="009D434D">
      <w:pPr>
        <w:rPr>
          <w:rFonts w:asciiTheme="majorBidi" w:hAnsiTheme="majorBidi" w:cstheme="majorBidi"/>
        </w:rPr>
      </w:pPr>
      <w:r w:rsidRPr="009D434D">
        <w:rPr>
          <w:rFonts w:asciiTheme="majorBidi" w:hAnsiTheme="majorBidi" w:cstheme="majorBidi"/>
        </w:rPr>
        <w:t xml:space="preserve">St. Pierre, J., &amp; Conley, D. (2009). Introduction to Gerontological Nursing. In K. L. Mauk (Ed.), </w:t>
      </w:r>
      <w:proofErr w:type="spellStart"/>
      <w:r w:rsidRPr="009D434D">
        <w:rPr>
          <w:rFonts w:asciiTheme="majorBidi" w:hAnsiTheme="majorBidi" w:cstheme="majorBidi"/>
          <w:i/>
          <w:iCs/>
        </w:rPr>
        <w:t>Gerontological</w:t>
      </w:r>
      <w:proofErr w:type="spellEnd"/>
      <w:r w:rsidRPr="009D434D">
        <w:rPr>
          <w:rFonts w:asciiTheme="majorBidi" w:hAnsiTheme="majorBidi" w:cstheme="majorBidi"/>
          <w:i/>
          <w:iCs/>
        </w:rPr>
        <w:t xml:space="preserve"> nursing: </w:t>
      </w:r>
      <w:commentRangeStart w:id="14"/>
      <w:r w:rsidRPr="009D434D">
        <w:rPr>
          <w:rFonts w:asciiTheme="majorBidi" w:hAnsiTheme="majorBidi" w:cstheme="majorBidi"/>
          <w:i/>
          <w:iCs/>
        </w:rPr>
        <w:t>c</w:t>
      </w:r>
      <w:commentRangeEnd w:id="14"/>
      <w:r w:rsidR="001D4BC8">
        <w:rPr>
          <w:rStyle w:val="CommentReference"/>
        </w:rPr>
        <w:commentReference w:id="14"/>
      </w:r>
      <w:r w:rsidRPr="009D434D">
        <w:rPr>
          <w:rFonts w:asciiTheme="majorBidi" w:hAnsiTheme="majorBidi" w:cstheme="majorBidi"/>
          <w:i/>
          <w:iCs/>
        </w:rPr>
        <w:t>ompetencie</w:t>
      </w:r>
      <w:r w:rsidR="007542A9">
        <w:rPr>
          <w:rFonts w:asciiTheme="majorBidi" w:hAnsiTheme="majorBidi" w:cstheme="majorBidi"/>
          <w:i/>
          <w:iCs/>
        </w:rPr>
        <w:t>s</w:t>
      </w:r>
      <w:r w:rsidRPr="009D434D">
        <w:rPr>
          <w:rFonts w:asciiTheme="majorBidi" w:hAnsiTheme="majorBidi" w:cstheme="majorBidi"/>
          <w:i/>
          <w:iCs/>
        </w:rPr>
        <w:t xml:space="preserve"> for care</w:t>
      </w:r>
      <w:r w:rsidRPr="009D434D">
        <w:rPr>
          <w:rFonts w:asciiTheme="majorBidi" w:hAnsiTheme="majorBidi" w:cstheme="majorBidi"/>
        </w:rPr>
        <w:t xml:space="preserve"> (2nd ed., pp. 17-21). Sudbury, MA: Jones an</w:t>
      </w:r>
      <w:r>
        <w:rPr>
          <w:rFonts w:asciiTheme="majorBidi" w:hAnsiTheme="majorBidi" w:cstheme="majorBidi"/>
        </w:rPr>
        <w:t>d</w:t>
      </w:r>
      <w:r w:rsidRPr="009D434D">
        <w:rPr>
          <w:rFonts w:asciiTheme="majorBidi" w:hAnsiTheme="majorBidi" w:cstheme="majorBidi"/>
        </w:rPr>
        <w:t xml:space="preserve"> Bartlett </w:t>
      </w:r>
      <w:commentRangeStart w:id="15"/>
      <w:r w:rsidRPr="009D434D">
        <w:rPr>
          <w:rFonts w:asciiTheme="majorBidi" w:hAnsiTheme="majorBidi" w:cstheme="majorBidi"/>
        </w:rPr>
        <w:t>Publisher</w:t>
      </w:r>
      <w:commentRangeEnd w:id="15"/>
      <w:r w:rsidR="001D4BC8">
        <w:rPr>
          <w:rStyle w:val="CommentReference"/>
        </w:rPr>
        <w:commentReference w:id="15"/>
      </w:r>
      <w:r w:rsidRPr="009D434D">
        <w:rPr>
          <w:rFonts w:asciiTheme="majorBidi" w:hAnsiTheme="majorBidi" w:cstheme="majorBidi"/>
        </w:rPr>
        <w:t>.</w:t>
      </w:r>
    </w:p>
    <w:sectPr w:rsidR="00A35BB2" w:rsidRPr="009D434D" w:rsidSect="00E93B1A">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5T14:57:00Z" w:initials="M">
    <w:p w:rsidR="001D4BC8" w:rsidRDefault="001D4BC8">
      <w:pPr>
        <w:pStyle w:val="CommentText"/>
      </w:pPr>
      <w:r>
        <w:rPr>
          <w:rStyle w:val="CommentReference"/>
        </w:rPr>
        <w:annotationRef/>
      </w:r>
      <w:r>
        <w:t>On the following pg’s case study 3.1 response should be all caps also</w:t>
      </w:r>
    </w:p>
  </w:comment>
  <w:comment w:id="1" w:author="Mary" w:date="2011-06-05T14:58:00Z" w:initials="M">
    <w:p w:rsidR="001D4BC8" w:rsidRDefault="001D4BC8">
      <w:pPr>
        <w:pStyle w:val="CommentText"/>
      </w:pPr>
      <w:r>
        <w:rPr>
          <w:rStyle w:val="CommentReference"/>
        </w:rPr>
        <w:annotationRef/>
      </w:r>
      <w:r>
        <w:t xml:space="preserve">Use </w:t>
      </w:r>
      <w:proofErr w:type="spellStart"/>
      <w:r>
        <w:t>pg</w:t>
      </w:r>
      <w:r>
        <w:rPr>
          <w:rFonts w:cstheme="minorHAnsi"/>
        </w:rPr>
        <w:t>®</w:t>
      </w:r>
      <w:r>
        <w:t>for</w:t>
      </w:r>
      <w:proofErr w:type="spellEnd"/>
      <w:r>
        <w:t xml:space="preserve"> a direct quote and I see no </w:t>
      </w:r>
      <w:proofErr w:type="gramStart"/>
      <w:r>
        <w:t>“ “</w:t>
      </w:r>
      <w:proofErr w:type="gramEnd"/>
    </w:p>
  </w:comment>
  <w:comment w:id="2" w:author="Mary" w:date="2011-06-05T14:58:00Z" w:initials="M">
    <w:p w:rsidR="001D4BC8" w:rsidRDefault="001D4BC8">
      <w:pPr>
        <w:pStyle w:val="CommentText"/>
      </w:pPr>
      <w:r>
        <w:rPr>
          <w:rStyle w:val="CommentReference"/>
        </w:rPr>
        <w:annotationRef/>
      </w:r>
      <w:proofErr w:type="gramStart"/>
      <w:r>
        <w:t>same</w:t>
      </w:r>
      <w:proofErr w:type="gramEnd"/>
    </w:p>
  </w:comment>
  <w:comment w:id="3" w:author="Mary" w:date="2011-06-05T14:59:00Z" w:initials="M">
    <w:p w:rsidR="001D4BC8" w:rsidRDefault="001D4BC8">
      <w:pPr>
        <w:pStyle w:val="CommentText"/>
      </w:pPr>
      <w:r>
        <w:rPr>
          <w:rStyle w:val="CommentReference"/>
        </w:rPr>
        <w:annotationRef/>
      </w:r>
      <w:proofErr w:type="gramStart"/>
      <w:r>
        <w:t>same</w:t>
      </w:r>
      <w:proofErr w:type="gramEnd"/>
    </w:p>
  </w:comment>
  <w:comment w:id="4" w:author="Mary" w:date="2011-06-05T14:59:00Z" w:initials="M">
    <w:p w:rsidR="001D4BC8" w:rsidRDefault="001D4BC8">
      <w:pPr>
        <w:pStyle w:val="CommentText"/>
      </w:pPr>
      <w:r>
        <w:rPr>
          <w:rStyle w:val="CommentReference"/>
        </w:rPr>
        <w:annotationRef/>
      </w:r>
      <w:proofErr w:type="gramStart"/>
      <w:r>
        <w:t>same</w:t>
      </w:r>
      <w:proofErr w:type="gramEnd"/>
    </w:p>
  </w:comment>
  <w:comment w:id="6" w:author="Mary" w:date="2011-06-05T14:59:00Z" w:initials="M">
    <w:p w:rsidR="001D4BC8" w:rsidRDefault="001D4BC8">
      <w:pPr>
        <w:pStyle w:val="CommentText"/>
      </w:pPr>
      <w:r>
        <w:rPr>
          <w:rStyle w:val="CommentReference"/>
        </w:rPr>
        <w:annotationRef/>
      </w:r>
    </w:p>
  </w:comment>
  <w:comment w:id="7" w:author="Mary" w:date="2011-06-05T14:59:00Z" w:initials="M">
    <w:p w:rsidR="001D4BC8" w:rsidRDefault="001D4BC8">
      <w:pPr>
        <w:pStyle w:val="CommentText"/>
      </w:pPr>
      <w:r>
        <w:rPr>
          <w:rStyle w:val="CommentReference"/>
        </w:rPr>
        <w:annotationRef/>
      </w:r>
    </w:p>
  </w:comment>
  <w:comment w:id="8" w:author="Mary" w:date="2011-06-05T14:59:00Z" w:initials="M">
    <w:p w:rsidR="001D4BC8" w:rsidRDefault="001D4BC8">
      <w:pPr>
        <w:pStyle w:val="CommentText"/>
      </w:pPr>
      <w:r>
        <w:rPr>
          <w:rStyle w:val="CommentReference"/>
        </w:rPr>
        <w:annotationRef/>
      </w:r>
    </w:p>
  </w:comment>
  <w:comment w:id="9" w:author="Mary" w:date="2011-06-05T15:00:00Z" w:initials="M">
    <w:p w:rsidR="001D4BC8" w:rsidRDefault="001D4BC8">
      <w:pPr>
        <w:pStyle w:val="CommentText"/>
      </w:pPr>
      <w:r>
        <w:rPr>
          <w:rStyle w:val="CommentReference"/>
        </w:rPr>
        <w:annotationRef/>
      </w:r>
    </w:p>
  </w:comment>
  <w:comment w:id="10" w:author="Mary" w:date="2011-06-05T15:00:00Z" w:initials="M">
    <w:p w:rsidR="001D4BC8" w:rsidRDefault="001D4BC8">
      <w:pPr>
        <w:pStyle w:val="CommentText"/>
      </w:pPr>
      <w:r>
        <w:rPr>
          <w:rStyle w:val="CommentReference"/>
        </w:rPr>
        <w:annotationRef/>
      </w:r>
    </w:p>
  </w:comment>
  <w:comment w:id="11" w:author="Mary" w:date="2011-06-05T15:05:00Z" w:initials="M">
    <w:p w:rsidR="001D4BC8" w:rsidRDefault="001D4BC8">
      <w:pPr>
        <w:pStyle w:val="CommentText"/>
      </w:pPr>
      <w:r>
        <w:rPr>
          <w:rStyle w:val="CommentReference"/>
        </w:rPr>
        <w:annotationRef/>
      </w:r>
      <w:r>
        <w:t xml:space="preserve">Separate these books out its confusing this </w:t>
      </w:r>
      <w:r>
        <w:t>way</w:t>
      </w:r>
    </w:p>
  </w:comment>
  <w:comment w:id="12" w:author="Mary" w:date="2011-06-05T15:02:00Z" w:initials="M">
    <w:p w:rsidR="001D4BC8" w:rsidRDefault="001D4BC8">
      <w:pPr>
        <w:pStyle w:val="CommentText"/>
      </w:pPr>
      <w:r>
        <w:rPr>
          <w:rStyle w:val="CommentReference"/>
        </w:rPr>
        <w:annotationRef/>
      </w:r>
      <w:r>
        <w:t>Capitalize after the:</w:t>
      </w:r>
    </w:p>
  </w:comment>
  <w:comment w:id="13" w:author="Mary" w:date="2011-06-05T15:02:00Z" w:initials="M">
    <w:p w:rsidR="001D4BC8" w:rsidRDefault="001D4BC8">
      <w:pPr>
        <w:pStyle w:val="CommentText"/>
      </w:pPr>
      <w:r>
        <w:rPr>
          <w:rStyle w:val="CommentReference"/>
        </w:rPr>
        <w:annotationRef/>
      </w:r>
      <w:r>
        <w:t>Leave the word publisher off</w:t>
      </w:r>
    </w:p>
  </w:comment>
  <w:comment w:id="14" w:author="Mary" w:date="2011-06-05T15:02:00Z" w:initials="M">
    <w:p w:rsidR="001D4BC8" w:rsidRDefault="001D4BC8">
      <w:pPr>
        <w:pStyle w:val="CommentText"/>
      </w:pPr>
      <w:r>
        <w:rPr>
          <w:rStyle w:val="CommentReference"/>
        </w:rPr>
        <w:annotationRef/>
      </w:r>
      <w:r>
        <w:t>C</w:t>
      </w:r>
    </w:p>
  </w:comment>
  <w:comment w:id="15" w:author="Mary" w:date="2011-06-05T15:03:00Z" w:initials="M">
    <w:p w:rsidR="001D4BC8" w:rsidRDefault="001D4BC8">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7C9" w:rsidRDefault="006557C9" w:rsidP="00E93B1A">
      <w:pPr>
        <w:spacing w:after="0" w:line="240" w:lineRule="auto"/>
      </w:pPr>
      <w:r>
        <w:separator/>
      </w:r>
    </w:p>
  </w:endnote>
  <w:endnote w:type="continuationSeparator" w:id="0">
    <w:p w:rsidR="006557C9" w:rsidRDefault="006557C9" w:rsidP="00E93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7C9" w:rsidRDefault="006557C9" w:rsidP="00E93B1A">
      <w:pPr>
        <w:spacing w:after="0" w:line="240" w:lineRule="auto"/>
      </w:pPr>
      <w:r>
        <w:separator/>
      </w:r>
    </w:p>
  </w:footnote>
  <w:footnote w:type="continuationSeparator" w:id="0">
    <w:p w:rsidR="006557C9" w:rsidRDefault="006557C9" w:rsidP="00E93B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622" w:rsidRPr="00830D0E" w:rsidRDefault="00425622">
    <w:pPr>
      <w:pStyle w:val="Header"/>
      <w:rPr>
        <w:rFonts w:asciiTheme="majorBidi" w:hAnsiTheme="majorBidi" w:cstheme="majorBidi"/>
      </w:rPr>
    </w:pPr>
    <w:r w:rsidRPr="00830D0E">
      <w:rPr>
        <w:rFonts w:asciiTheme="majorBidi" w:hAnsiTheme="majorBidi" w:cstheme="majorBidi"/>
      </w:rPr>
      <w:t>Case Study 3.1 Response</w:t>
    </w:r>
    <w:r w:rsidRPr="00830D0E">
      <w:rPr>
        <w:rFonts w:asciiTheme="majorBidi" w:hAnsiTheme="majorBidi" w:cstheme="majorBidi"/>
      </w:rPr>
      <w:tab/>
    </w:r>
    <w:r w:rsidRPr="00830D0E">
      <w:rPr>
        <w:rFonts w:asciiTheme="majorBidi" w:hAnsiTheme="majorBidi" w:cstheme="majorBidi"/>
      </w:rPr>
      <w:tab/>
    </w:r>
    <w:sdt>
      <w:sdtPr>
        <w:rPr>
          <w:rFonts w:asciiTheme="majorBidi" w:hAnsiTheme="majorBidi" w:cstheme="majorBidi"/>
        </w:rPr>
        <w:id w:val="-542747279"/>
        <w:docPartObj>
          <w:docPartGallery w:val="Page Numbers (Top of Page)"/>
          <w:docPartUnique/>
        </w:docPartObj>
      </w:sdtPr>
      <w:sdtEndPr>
        <w:rPr>
          <w:noProof/>
        </w:rPr>
      </w:sdtEndPr>
      <w:sdtContent>
        <w:r w:rsidR="00A37E12" w:rsidRPr="00830D0E">
          <w:rPr>
            <w:rFonts w:asciiTheme="majorBidi" w:hAnsiTheme="majorBidi" w:cstheme="majorBidi"/>
          </w:rPr>
          <w:fldChar w:fldCharType="begin"/>
        </w:r>
        <w:r w:rsidRPr="00830D0E">
          <w:rPr>
            <w:rFonts w:asciiTheme="majorBidi" w:hAnsiTheme="majorBidi" w:cstheme="majorBidi"/>
          </w:rPr>
          <w:instrText xml:space="preserve"> PAGE   \* MERGEFORMAT </w:instrText>
        </w:r>
        <w:r w:rsidR="00A37E12" w:rsidRPr="00830D0E">
          <w:rPr>
            <w:rFonts w:asciiTheme="majorBidi" w:hAnsiTheme="majorBidi" w:cstheme="majorBidi"/>
          </w:rPr>
          <w:fldChar w:fldCharType="separate"/>
        </w:r>
        <w:r w:rsidR="001D4BC8">
          <w:rPr>
            <w:rFonts w:asciiTheme="majorBidi" w:hAnsiTheme="majorBidi" w:cstheme="majorBidi"/>
            <w:noProof/>
          </w:rPr>
          <w:t>3</w:t>
        </w:r>
        <w:r w:rsidR="00A37E12" w:rsidRPr="00830D0E">
          <w:rPr>
            <w:rFonts w:asciiTheme="majorBidi" w:hAnsiTheme="majorBidi" w:cstheme="majorBidi"/>
            <w:noProof/>
          </w:rPr>
          <w:fldChar w:fldCharType="end"/>
        </w:r>
      </w:sdtContent>
    </w:sdt>
  </w:p>
  <w:p w:rsidR="00425622" w:rsidRDefault="004256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622" w:rsidRPr="00830D0E" w:rsidRDefault="00425622">
    <w:pPr>
      <w:pStyle w:val="Header"/>
      <w:rPr>
        <w:rFonts w:asciiTheme="majorBidi" w:hAnsiTheme="majorBidi" w:cstheme="majorBidi"/>
      </w:rPr>
    </w:pPr>
    <w:r w:rsidRPr="00830D0E">
      <w:rPr>
        <w:rFonts w:asciiTheme="majorBidi" w:hAnsiTheme="majorBidi" w:cstheme="majorBidi"/>
      </w:rPr>
      <w:t>Running head: CASE STUDY 3.1 RESPONSE</w:t>
    </w:r>
    <w:r w:rsidRPr="00830D0E">
      <w:rPr>
        <w:rFonts w:asciiTheme="majorBidi" w:hAnsiTheme="majorBidi" w:cstheme="majorBidi"/>
      </w:rPr>
      <w:tab/>
    </w:r>
    <w:r w:rsidRPr="00830D0E">
      <w:rPr>
        <w:rFonts w:asciiTheme="majorBidi" w:hAnsiTheme="majorBidi" w:cstheme="majorBidi"/>
      </w:rPr>
      <w:tab/>
    </w:r>
    <w:sdt>
      <w:sdtPr>
        <w:rPr>
          <w:rFonts w:asciiTheme="majorBidi" w:hAnsiTheme="majorBidi" w:cstheme="majorBidi"/>
        </w:rPr>
        <w:id w:val="-130404330"/>
        <w:docPartObj>
          <w:docPartGallery w:val="Page Numbers (Top of Page)"/>
          <w:docPartUnique/>
        </w:docPartObj>
      </w:sdtPr>
      <w:sdtEndPr>
        <w:rPr>
          <w:noProof/>
        </w:rPr>
      </w:sdtEndPr>
      <w:sdtContent>
        <w:r w:rsidR="00A37E12" w:rsidRPr="00830D0E">
          <w:rPr>
            <w:rFonts w:asciiTheme="majorBidi" w:hAnsiTheme="majorBidi" w:cstheme="majorBidi"/>
          </w:rPr>
          <w:fldChar w:fldCharType="begin"/>
        </w:r>
        <w:r w:rsidRPr="00830D0E">
          <w:rPr>
            <w:rFonts w:asciiTheme="majorBidi" w:hAnsiTheme="majorBidi" w:cstheme="majorBidi"/>
          </w:rPr>
          <w:instrText xml:space="preserve"> PAGE   \* MERGEFORMAT </w:instrText>
        </w:r>
        <w:r w:rsidR="00A37E12" w:rsidRPr="00830D0E">
          <w:rPr>
            <w:rFonts w:asciiTheme="majorBidi" w:hAnsiTheme="majorBidi" w:cstheme="majorBidi"/>
          </w:rPr>
          <w:fldChar w:fldCharType="separate"/>
        </w:r>
        <w:r w:rsidR="001D4BC8">
          <w:rPr>
            <w:rFonts w:asciiTheme="majorBidi" w:hAnsiTheme="majorBidi" w:cstheme="majorBidi"/>
            <w:noProof/>
          </w:rPr>
          <w:t>1</w:t>
        </w:r>
        <w:r w:rsidR="00A37E12" w:rsidRPr="00830D0E">
          <w:rPr>
            <w:rFonts w:asciiTheme="majorBidi" w:hAnsiTheme="majorBidi" w:cstheme="majorBidi"/>
            <w:noProof/>
          </w:rPr>
          <w:fldChar w:fldCharType="end"/>
        </w:r>
      </w:sdtContent>
    </w:sdt>
  </w:p>
  <w:p w:rsidR="00425622" w:rsidRDefault="004256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20"/>
  <w:characterSpacingControl w:val="doNotCompress"/>
  <w:footnotePr>
    <w:footnote w:id="-1"/>
    <w:footnote w:id="0"/>
  </w:footnotePr>
  <w:endnotePr>
    <w:endnote w:id="-1"/>
    <w:endnote w:id="0"/>
  </w:endnotePr>
  <w:compat/>
  <w:rsids>
    <w:rsidRoot w:val="00E93B1A"/>
    <w:rsid w:val="00010FF2"/>
    <w:rsid w:val="0004016E"/>
    <w:rsid w:val="001249C8"/>
    <w:rsid w:val="0019078B"/>
    <w:rsid w:val="001D4BC8"/>
    <w:rsid w:val="002F38DA"/>
    <w:rsid w:val="0031013E"/>
    <w:rsid w:val="00325D94"/>
    <w:rsid w:val="0042361B"/>
    <w:rsid w:val="00425622"/>
    <w:rsid w:val="00442ADC"/>
    <w:rsid w:val="005028C0"/>
    <w:rsid w:val="00583AB3"/>
    <w:rsid w:val="00595063"/>
    <w:rsid w:val="005C14BC"/>
    <w:rsid w:val="00640220"/>
    <w:rsid w:val="006557C9"/>
    <w:rsid w:val="007204AD"/>
    <w:rsid w:val="0073229C"/>
    <w:rsid w:val="00744D43"/>
    <w:rsid w:val="007542A9"/>
    <w:rsid w:val="00794EA8"/>
    <w:rsid w:val="007A6D06"/>
    <w:rsid w:val="00830D0E"/>
    <w:rsid w:val="0098588A"/>
    <w:rsid w:val="0099095A"/>
    <w:rsid w:val="009961D1"/>
    <w:rsid w:val="009D434D"/>
    <w:rsid w:val="00A35BB2"/>
    <w:rsid w:val="00A37E12"/>
    <w:rsid w:val="00A91B97"/>
    <w:rsid w:val="00B22D0A"/>
    <w:rsid w:val="00B35FCD"/>
    <w:rsid w:val="00B43313"/>
    <w:rsid w:val="00C032ED"/>
    <w:rsid w:val="00C2693E"/>
    <w:rsid w:val="00C91D86"/>
    <w:rsid w:val="00C926D9"/>
    <w:rsid w:val="00CC6FE2"/>
    <w:rsid w:val="00CE5C22"/>
    <w:rsid w:val="00D04800"/>
    <w:rsid w:val="00DA6578"/>
    <w:rsid w:val="00E7551A"/>
    <w:rsid w:val="00E93B1A"/>
    <w:rsid w:val="00EB695B"/>
    <w:rsid w:val="00EF4ACA"/>
    <w:rsid w:val="00F74EEE"/>
    <w:rsid w:val="00F77C50"/>
    <w:rsid w:val="00FD005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B1A"/>
  </w:style>
  <w:style w:type="paragraph" w:styleId="Footer">
    <w:name w:val="footer"/>
    <w:basedOn w:val="Normal"/>
    <w:link w:val="FooterChar"/>
    <w:uiPriority w:val="99"/>
    <w:unhideWhenUsed/>
    <w:rsid w:val="00E93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B1A"/>
  </w:style>
  <w:style w:type="paragraph" w:styleId="BalloonText">
    <w:name w:val="Balloon Text"/>
    <w:basedOn w:val="Normal"/>
    <w:link w:val="BalloonTextChar"/>
    <w:uiPriority w:val="99"/>
    <w:semiHidden/>
    <w:unhideWhenUsed/>
    <w:rsid w:val="00E93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B1A"/>
    <w:rPr>
      <w:rFonts w:ascii="Tahoma" w:hAnsi="Tahoma" w:cs="Tahoma"/>
      <w:sz w:val="16"/>
      <w:szCs w:val="16"/>
    </w:rPr>
  </w:style>
  <w:style w:type="paragraph" w:styleId="ListParagraph">
    <w:name w:val="List Paragraph"/>
    <w:basedOn w:val="Normal"/>
    <w:uiPriority w:val="99"/>
    <w:qFormat/>
    <w:rsid w:val="00640220"/>
    <w:pPr>
      <w:spacing w:after="0" w:line="240" w:lineRule="auto"/>
    </w:pPr>
    <w:rPr>
      <w:rFonts w:ascii="Arial Narrow" w:eastAsia="MS Mincho" w:hAnsi="Arial Narrow" w:cs="Times New Roman"/>
      <w:sz w:val="24"/>
      <w:szCs w:val="20"/>
    </w:rPr>
  </w:style>
  <w:style w:type="character" w:styleId="CommentReference">
    <w:name w:val="annotation reference"/>
    <w:basedOn w:val="DefaultParagraphFont"/>
    <w:uiPriority w:val="99"/>
    <w:semiHidden/>
    <w:unhideWhenUsed/>
    <w:rsid w:val="001D4BC8"/>
    <w:rPr>
      <w:sz w:val="16"/>
      <w:szCs w:val="16"/>
    </w:rPr>
  </w:style>
  <w:style w:type="paragraph" w:styleId="CommentText">
    <w:name w:val="annotation text"/>
    <w:basedOn w:val="Normal"/>
    <w:link w:val="CommentTextChar"/>
    <w:uiPriority w:val="99"/>
    <w:semiHidden/>
    <w:unhideWhenUsed/>
    <w:rsid w:val="001D4BC8"/>
    <w:pPr>
      <w:spacing w:line="240" w:lineRule="auto"/>
    </w:pPr>
    <w:rPr>
      <w:sz w:val="20"/>
      <w:szCs w:val="20"/>
    </w:rPr>
  </w:style>
  <w:style w:type="character" w:customStyle="1" w:styleId="CommentTextChar">
    <w:name w:val="Comment Text Char"/>
    <w:basedOn w:val="DefaultParagraphFont"/>
    <w:link w:val="CommentText"/>
    <w:uiPriority w:val="99"/>
    <w:semiHidden/>
    <w:rsid w:val="001D4BC8"/>
    <w:rPr>
      <w:sz w:val="20"/>
      <w:szCs w:val="20"/>
    </w:rPr>
  </w:style>
  <w:style w:type="paragraph" w:styleId="CommentSubject">
    <w:name w:val="annotation subject"/>
    <w:basedOn w:val="CommentText"/>
    <w:next w:val="CommentText"/>
    <w:link w:val="CommentSubjectChar"/>
    <w:uiPriority w:val="99"/>
    <w:semiHidden/>
    <w:unhideWhenUsed/>
    <w:rsid w:val="001D4BC8"/>
    <w:rPr>
      <w:b/>
      <w:bCs/>
    </w:rPr>
  </w:style>
  <w:style w:type="character" w:customStyle="1" w:styleId="CommentSubjectChar">
    <w:name w:val="Comment Subject Char"/>
    <w:basedOn w:val="CommentTextChar"/>
    <w:link w:val="CommentSubject"/>
    <w:uiPriority w:val="99"/>
    <w:semiHidden/>
    <w:rsid w:val="001D4B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B1A"/>
  </w:style>
  <w:style w:type="paragraph" w:styleId="Footer">
    <w:name w:val="footer"/>
    <w:basedOn w:val="Normal"/>
    <w:link w:val="FooterChar"/>
    <w:uiPriority w:val="99"/>
    <w:unhideWhenUsed/>
    <w:rsid w:val="00E93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B1A"/>
  </w:style>
  <w:style w:type="paragraph" w:styleId="BalloonText">
    <w:name w:val="Balloon Text"/>
    <w:basedOn w:val="Normal"/>
    <w:link w:val="BalloonTextChar"/>
    <w:uiPriority w:val="99"/>
    <w:semiHidden/>
    <w:unhideWhenUsed/>
    <w:rsid w:val="00E93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B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AA75D-2C81-4E1B-AFAB-E93E0F8C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874</Words>
  <Characters>4988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Mary</cp:lastModifiedBy>
  <cp:revision>2</cp:revision>
  <dcterms:created xsi:type="dcterms:W3CDTF">2011-06-05T20:06:00Z</dcterms:created>
  <dcterms:modified xsi:type="dcterms:W3CDTF">2011-06-05T20:06:00Z</dcterms:modified>
</cp:coreProperties>
</file>