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D38" w:rsidRDefault="00F31BF7">
      <w:r>
        <w:t>CASE STUD</w:t>
      </w:r>
      <w:r w:rsidR="000E0C46">
        <w:t>Y</w:t>
      </w:r>
      <w:r>
        <w:t xml:space="preserve"> </w:t>
      </w:r>
      <w:commentRangeStart w:id="0"/>
      <w:r>
        <w:t>5</w:t>
      </w:r>
      <w:commentRangeEnd w:id="0"/>
      <w:r w:rsidR="00846AE3">
        <w:rPr>
          <w:rStyle w:val="CommentReference"/>
        </w:rPr>
        <w:commentReference w:id="0"/>
      </w:r>
    </w:p>
    <w:p w:rsidR="00846AE3" w:rsidRPr="00321E5C" w:rsidRDefault="00846AE3"/>
    <w:p w:rsidR="00E06D38" w:rsidRPr="00321E5C" w:rsidRDefault="00E06D38"/>
    <w:p w:rsidR="00E06D38" w:rsidRPr="00321E5C" w:rsidRDefault="00E06D38"/>
    <w:p w:rsidR="00E06D38" w:rsidRPr="00846AE3" w:rsidRDefault="00846AE3">
      <w:pPr>
        <w:rPr>
          <w:color w:val="FF0000"/>
        </w:rPr>
      </w:pPr>
      <w:r w:rsidRPr="00846AE3">
        <w:rPr>
          <w:color w:val="FF0000"/>
        </w:rPr>
        <w:t xml:space="preserve">13/15 Please be careful not to copy from the book without using quote marks and page numbers. Have someone show you how to do this header and you did </w:t>
      </w:r>
      <w:proofErr w:type="gramStart"/>
      <w:r w:rsidRPr="00846AE3">
        <w:rPr>
          <w:color w:val="FF0000"/>
        </w:rPr>
        <w:t>good</w:t>
      </w:r>
      <w:proofErr w:type="gramEnd"/>
      <w:r w:rsidRPr="00846AE3">
        <w:rPr>
          <w:color w:val="FF0000"/>
        </w:rPr>
        <w:t xml:space="preserve"> on reference list</w:t>
      </w:r>
    </w:p>
    <w:p w:rsidR="00E06D38" w:rsidRPr="00321E5C" w:rsidRDefault="00E06D38"/>
    <w:p w:rsidR="00E06D38" w:rsidRPr="00321E5C" w:rsidRDefault="00E06D38"/>
    <w:p w:rsidR="00E06D38" w:rsidRPr="00321E5C" w:rsidRDefault="00E06D38"/>
    <w:p w:rsidR="00E06D38" w:rsidRPr="00321E5C" w:rsidRDefault="00E06D38"/>
    <w:p w:rsidR="00E06D38" w:rsidRPr="00321E5C" w:rsidRDefault="00E06D38"/>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r w:rsidRPr="00321E5C">
        <w:t xml:space="preserve">Case </w:t>
      </w:r>
      <w:r w:rsidR="00F31BF7">
        <w:t>Study 5</w:t>
      </w:r>
    </w:p>
    <w:p w:rsidR="00E06D38" w:rsidRPr="00321E5C" w:rsidRDefault="00E06D38" w:rsidP="00E06D38">
      <w:pPr>
        <w:jc w:val="center"/>
      </w:pPr>
      <w:r w:rsidRPr="00321E5C">
        <w:t xml:space="preserve">Ashlee Farrell </w:t>
      </w:r>
    </w:p>
    <w:p w:rsidR="00E06D38" w:rsidRPr="00321E5C" w:rsidRDefault="00E06D38" w:rsidP="00E06D38">
      <w:pPr>
        <w:jc w:val="center"/>
      </w:pPr>
      <w:r w:rsidRPr="00321E5C">
        <w:t>Lakeview College of Nursing</w:t>
      </w:r>
    </w:p>
    <w:p w:rsidR="00E06D38" w:rsidRPr="00321E5C" w:rsidRDefault="00E06D38" w:rsidP="00E06D38">
      <w:pPr>
        <w:jc w:val="center"/>
      </w:pPr>
      <w:r w:rsidRPr="00321E5C">
        <w:t>Gero</w:t>
      </w:r>
      <w:r w:rsidR="009D44FF">
        <w:t>ntology</w:t>
      </w:r>
    </w:p>
    <w:p w:rsidR="00E06D38" w:rsidRPr="00321E5C" w:rsidRDefault="00F31BF7" w:rsidP="009D44FF">
      <w:pPr>
        <w:jc w:val="center"/>
      </w:pPr>
      <w:r>
        <w:t xml:space="preserve">19 </w:t>
      </w:r>
      <w:r w:rsidR="009D44FF">
        <w:t>February</w:t>
      </w:r>
      <w:r w:rsidR="00E06D38" w:rsidRPr="00321E5C">
        <w:t xml:space="preserve"> 2012</w:t>
      </w: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r w:rsidRPr="00321E5C">
        <w:t xml:space="preserve">CASE STUDY </w:t>
      </w:r>
      <w:r w:rsidR="00F31BF7">
        <w:t>5</w:t>
      </w:r>
    </w:p>
    <w:p w:rsidR="00F31BF7" w:rsidRDefault="00E06D38" w:rsidP="00E06D38">
      <w:pPr>
        <w:jc w:val="center"/>
      </w:pPr>
      <w:r w:rsidRPr="00321E5C">
        <w:t xml:space="preserve">Case Study </w:t>
      </w:r>
      <w:r w:rsidR="00F31BF7">
        <w:t>5</w:t>
      </w:r>
    </w:p>
    <w:p w:rsidR="00F31BF7" w:rsidRDefault="00F31BF7" w:rsidP="00F31BF7">
      <w:pPr>
        <w:pStyle w:val="ListParagraph"/>
        <w:numPr>
          <w:ilvl w:val="0"/>
          <w:numId w:val="6"/>
        </w:numPr>
      </w:pPr>
      <w:r>
        <w:t xml:space="preserve">Compare and contrast the definitions for frailty. </w:t>
      </w:r>
      <w:commentRangeStart w:id="1"/>
      <w:proofErr w:type="gramStart"/>
      <w:r>
        <w:t>Disability,</w:t>
      </w:r>
      <w:proofErr w:type="gramEnd"/>
      <w:r>
        <w:t xml:space="preserve"> and </w:t>
      </w:r>
      <w:proofErr w:type="spellStart"/>
      <w:r>
        <w:t>comorbidity</w:t>
      </w:r>
      <w:proofErr w:type="spellEnd"/>
      <w:r>
        <w:t xml:space="preserve">. </w:t>
      </w:r>
    </w:p>
    <w:p w:rsidR="00431F6C" w:rsidRDefault="00F31BF7" w:rsidP="00431F6C">
      <w:pPr>
        <w:pStyle w:val="ListParagraph"/>
        <w:ind w:left="1440" w:firstLine="720"/>
      </w:pPr>
      <w:r>
        <w:t xml:space="preserve">Frailty is the inability to maintain homeostasis and also a decline in physical and functional state. Disability </w:t>
      </w:r>
      <w:r w:rsidR="00477C6C">
        <w:t xml:space="preserve">is when someone cannot carry out daily living activities. This can happen because of one or many body systems not working. Unlike frailty, disability is not associated with instability. </w:t>
      </w:r>
      <w:proofErr w:type="spellStart"/>
      <w:r w:rsidR="00431F6C">
        <w:t>Comorbidity</w:t>
      </w:r>
      <w:proofErr w:type="spellEnd"/>
      <w:r w:rsidR="00431F6C">
        <w:t xml:space="preserve"> is when there is a presence of two or more diseases in a person. (</w:t>
      </w:r>
      <w:proofErr w:type="spellStart"/>
      <w:r w:rsidR="00431F6C">
        <w:t>Benefield</w:t>
      </w:r>
      <w:proofErr w:type="spellEnd"/>
      <w:r w:rsidR="000D42E3">
        <w:t xml:space="preserve"> &amp; </w:t>
      </w:r>
      <w:proofErr w:type="spellStart"/>
      <w:r w:rsidR="000D42E3">
        <w:t>Higbee</w:t>
      </w:r>
      <w:proofErr w:type="spellEnd"/>
      <w:r w:rsidR="00431F6C">
        <w:t>, 2007)</w:t>
      </w:r>
    </w:p>
    <w:p w:rsidR="00BF15D4" w:rsidRDefault="00431F6C" w:rsidP="00F31BF7">
      <w:pPr>
        <w:pStyle w:val="ListParagraph"/>
        <w:ind w:left="1440"/>
      </w:pPr>
      <w:r>
        <w:tab/>
        <w:t xml:space="preserve">All three of these things are affected by at least one body system shutting down or not working properly. However, disability can be caused from </w:t>
      </w:r>
      <w:proofErr w:type="spellStart"/>
      <w:r>
        <w:t>comorbidity</w:t>
      </w:r>
      <w:proofErr w:type="spellEnd"/>
      <w:r>
        <w:t xml:space="preserve"> or frailty because these two are caused from the body not working properly and becoming weak. When this occurs the body may become disabled and not be able to do any ADLS or important activities throughout the day. </w:t>
      </w:r>
    </w:p>
    <w:p w:rsidR="00BF15D4" w:rsidRDefault="00BF15D4" w:rsidP="00F31BF7">
      <w:pPr>
        <w:pStyle w:val="ListParagraph"/>
        <w:ind w:left="1440"/>
      </w:pPr>
    </w:p>
    <w:commentRangeEnd w:id="1"/>
    <w:p w:rsidR="00BF15D4" w:rsidRDefault="00846AE3" w:rsidP="00BF15D4">
      <w:pPr>
        <w:pStyle w:val="ListParagraph"/>
        <w:numPr>
          <w:ilvl w:val="0"/>
          <w:numId w:val="6"/>
        </w:numPr>
      </w:pPr>
      <w:r>
        <w:rPr>
          <w:rStyle w:val="CommentReference"/>
        </w:rPr>
        <w:commentReference w:id="1"/>
      </w:r>
      <w:r w:rsidR="00BF15D4">
        <w:t xml:space="preserve">Explain why frailty is considered a syndrome. </w:t>
      </w:r>
    </w:p>
    <w:p w:rsidR="00EF0481" w:rsidRDefault="00914CF2" w:rsidP="00EF0481">
      <w:pPr>
        <w:pStyle w:val="ListParagraph"/>
        <w:ind w:left="1440" w:firstLine="720"/>
      </w:pPr>
      <w:r>
        <w:t>Frailty is considered a syndrome because it is associated with reduced functional reserve, impairment in multiple physiological systems, and reduced ability to regain physiological homeostasis (</w:t>
      </w:r>
      <w:proofErr w:type="spellStart"/>
      <w:r>
        <w:t>Benefield</w:t>
      </w:r>
      <w:proofErr w:type="spellEnd"/>
      <w:r w:rsidR="000D42E3">
        <w:t xml:space="preserve"> &amp; </w:t>
      </w:r>
      <w:proofErr w:type="spellStart"/>
      <w:r w:rsidR="000D42E3">
        <w:t>Higbee</w:t>
      </w:r>
      <w:proofErr w:type="spellEnd"/>
      <w:r>
        <w:t xml:space="preserve">, 2007). </w:t>
      </w:r>
      <w:r w:rsidR="00EF0481">
        <w:t xml:space="preserve"> So frailty has its own characteristics that define its cause and all of these symptoms together make up frailty causing it a syndrome. </w:t>
      </w:r>
    </w:p>
    <w:p w:rsidR="00EF0481" w:rsidRDefault="00EF0481" w:rsidP="00BF15D4">
      <w:pPr>
        <w:pStyle w:val="ListParagraph"/>
        <w:ind w:left="1440"/>
      </w:pPr>
    </w:p>
    <w:p w:rsidR="00EF0481" w:rsidRDefault="00EF0481" w:rsidP="00EF0481">
      <w:pPr>
        <w:pStyle w:val="ListParagraph"/>
        <w:numPr>
          <w:ilvl w:val="0"/>
          <w:numId w:val="6"/>
        </w:numPr>
      </w:pPr>
      <w:r>
        <w:t xml:space="preserve">View the frailty assessment tool and determine Mrs. Gibson’s actual score. </w:t>
      </w:r>
    </w:p>
    <w:p w:rsidR="00342592" w:rsidRDefault="00EF0481" w:rsidP="00EF0481">
      <w:pPr>
        <w:pStyle w:val="ListParagraph"/>
        <w:ind w:left="1440"/>
      </w:pPr>
      <w:r>
        <w:t xml:space="preserve">Mrs. Gibson’s score would be a 3 which means she has to have a present of at </w:t>
      </w:r>
      <w:proofErr w:type="spellStart"/>
      <w:r>
        <w:t>lest</w:t>
      </w:r>
      <w:proofErr w:type="spellEnd"/>
      <w:r>
        <w:t xml:space="preserve"> 3 of the symptoms which include shrinking, exhaustion, strength, slowness, and loss of physical activity (</w:t>
      </w:r>
      <w:proofErr w:type="spellStart"/>
      <w:r>
        <w:t>Benefield</w:t>
      </w:r>
      <w:proofErr w:type="spellEnd"/>
      <w:r w:rsidR="000D42E3">
        <w:t xml:space="preserve"> &amp; </w:t>
      </w:r>
      <w:proofErr w:type="spellStart"/>
      <w:r w:rsidR="000D42E3">
        <w:t>Higbee</w:t>
      </w:r>
      <w:proofErr w:type="spellEnd"/>
      <w:r>
        <w:t xml:space="preserve">, 2007). Mrs. Gibson has lost 14 pounds, been fatigue, and now needs a wheelchair, therefore she has three of the components. </w:t>
      </w:r>
    </w:p>
    <w:p w:rsidR="00342592" w:rsidRDefault="00342592" w:rsidP="00EF0481">
      <w:pPr>
        <w:pStyle w:val="ListParagraph"/>
        <w:ind w:left="1440"/>
      </w:pPr>
    </w:p>
    <w:p w:rsidR="00342592" w:rsidRDefault="00342592" w:rsidP="00342592">
      <w:pPr>
        <w:pStyle w:val="ListParagraph"/>
        <w:numPr>
          <w:ilvl w:val="0"/>
          <w:numId w:val="6"/>
        </w:numPr>
      </w:pPr>
      <w:r>
        <w:t xml:space="preserve">Differentiate primary versus secondary frailty. </w:t>
      </w:r>
    </w:p>
    <w:p w:rsidR="0080468E" w:rsidRDefault="00342592" w:rsidP="00342592">
      <w:pPr>
        <w:pStyle w:val="ListParagraph"/>
        <w:ind w:left="1440"/>
      </w:pPr>
      <w:r>
        <w:t>“Primary frailty has no underlying, pathological causative factors, whereas secondary frailty originates from underlying, pathological causative</w:t>
      </w:r>
      <w:r w:rsidR="00DD175C">
        <w:t xml:space="preserve"> factors” (</w:t>
      </w:r>
      <w:proofErr w:type="spellStart"/>
      <w:r w:rsidR="00DD175C">
        <w:t>Benefield</w:t>
      </w:r>
      <w:proofErr w:type="spellEnd"/>
      <w:r w:rsidR="000D42E3">
        <w:t xml:space="preserve"> &amp; </w:t>
      </w:r>
      <w:proofErr w:type="spellStart"/>
      <w:r w:rsidR="000D42E3">
        <w:t>Higbee</w:t>
      </w:r>
      <w:proofErr w:type="spellEnd"/>
      <w:r w:rsidR="00DD175C">
        <w:t xml:space="preserve">, </w:t>
      </w:r>
      <w:commentRangeStart w:id="2"/>
      <w:r w:rsidR="00DD175C">
        <w:t>2007</w:t>
      </w:r>
      <w:commentRangeEnd w:id="2"/>
      <w:r w:rsidR="00846AE3">
        <w:rPr>
          <w:rStyle w:val="CommentReference"/>
        </w:rPr>
        <w:commentReference w:id="2"/>
      </w:r>
      <w:r w:rsidR="00DD175C">
        <w:t xml:space="preserve">). </w:t>
      </w:r>
      <w:r w:rsidR="0080468E">
        <w:t xml:space="preserve"> So secondary is caused by some sort of disease or disease and primary is not. </w:t>
      </w:r>
    </w:p>
    <w:p w:rsidR="0080468E" w:rsidRDefault="0080468E" w:rsidP="00342592">
      <w:pPr>
        <w:pStyle w:val="ListParagraph"/>
        <w:ind w:left="1440"/>
      </w:pPr>
    </w:p>
    <w:p w:rsidR="0080468E" w:rsidRDefault="0080468E" w:rsidP="0080468E">
      <w:pPr>
        <w:pStyle w:val="ListParagraph"/>
        <w:numPr>
          <w:ilvl w:val="0"/>
          <w:numId w:val="6"/>
        </w:numPr>
      </w:pPr>
      <w:r>
        <w:t xml:space="preserve">What criteria comprise the six physiologic-based risk factors for frailty? </w:t>
      </w:r>
    </w:p>
    <w:p w:rsidR="00CC087D" w:rsidRDefault="00CC087D" w:rsidP="00CC087D">
      <w:pPr>
        <w:pStyle w:val="ListParagraph"/>
        <w:ind w:left="1440" w:firstLine="720"/>
      </w:pPr>
      <w:r>
        <w:t xml:space="preserve">The six physiologic risk factors for frailty include activated inflammation, immune system dysfunction, anemia, endocrine system </w:t>
      </w:r>
      <w:r>
        <w:lastRenderedPageBreak/>
        <w:t>alteration, unde</w:t>
      </w:r>
      <w:r w:rsidR="000D2FCC">
        <w:t>rweight or overweight, and age (Espinoza</w:t>
      </w:r>
      <w:r w:rsidR="003258B8">
        <w:t xml:space="preserve"> &amp; Fried</w:t>
      </w:r>
      <w:r w:rsidR="000D2FCC">
        <w:t>, 2007)</w:t>
      </w:r>
    </w:p>
    <w:p w:rsidR="000E0C46" w:rsidRDefault="000E0C46" w:rsidP="0080468E">
      <w:pPr>
        <w:pStyle w:val="ListParagraph"/>
        <w:ind w:left="1440"/>
      </w:pPr>
    </w:p>
    <w:p w:rsidR="000E0C46" w:rsidRDefault="000E0C46" w:rsidP="0080468E">
      <w:pPr>
        <w:pStyle w:val="ListParagraph"/>
        <w:ind w:left="1440"/>
      </w:pPr>
    </w:p>
    <w:p w:rsidR="000E0C46" w:rsidRDefault="000E0C46" w:rsidP="0080468E">
      <w:pPr>
        <w:pStyle w:val="ListParagraph"/>
        <w:ind w:left="1440"/>
      </w:pPr>
    </w:p>
    <w:p w:rsidR="00CC087D" w:rsidRDefault="000E0C46" w:rsidP="000E0C46">
      <w:r>
        <w:t>CASE STUDY 5</w:t>
      </w:r>
    </w:p>
    <w:p w:rsidR="00DC5D3C" w:rsidRDefault="002D056D" w:rsidP="000E0C46">
      <w:pPr>
        <w:pStyle w:val="ListParagraph"/>
        <w:numPr>
          <w:ilvl w:val="0"/>
          <w:numId w:val="6"/>
        </w:numPr>
      </w:pPr>
      <w:r>
        <w:t xml:space="preserve">Discuss </w:t>
      </w:r>
      <w:proofErr w:type="spellStart"/>
      <w:r>
        <w:t>sociodemographic</w:t>
      </w:r>
      <w:proofErr w:type="spellEnd"/>
      <w:r>
        <w:t xml:space="preserve"> and psychological risk factors presented in the article. </w:t>
      </w:r>
    </w:p>
    <w:p w:rsidR="00EE47EA" w:rsidRDefault="002D056D" w:rsidP="00CD1338">
      <w:pPr>
        <w:pStyle w:val="ListParagraph"/>
        <w:ind w:left="1440" w:firstLine="720"/>
      </w:pPr>
      <w:r>
        <w:t xml:space="preserve">The </w:t>
      </w:r>
      <w:proofErr w:type="spellStart"/>
      <w:r>
        <w:t>sociodemographic</w:t>
      </w:r>
      <w:proofErr w:type="spellEnd"/>
      <w:r>
        <w:t xml:space="preserve"> and psychological risk factors include female gender, low socioeconomic status, race/ethnicity, and depression.  Females are more likely to be frail, which is possibly because of </w:t>
      </w:r>
      <w:proofErr w:type="spellStart"/>
      <w:r>
        <w:t>sarcopenia</w:t>
      </w:r>
      <w:proofErr w:type="spellEnd"/>
      <w:r>
        <w:t xml:space="preserve">. </w:t>
      </w:r>
      <w:proofErr w:type="spellStart"/>
      <w:r>
        <w:t>Sarcopenia</w:t>
      </w:r>
      <w:proofErr w:type="spellEnd"/>
      <w:r>
        <w:t xml:space="preserve"> is when people get older they </w:t>
      </w:r>
      <w:proofErr w:type="spellStart"/>
      <w:r>
        <w:t>loose</w:t>
      </w:r>
      <w:proofErr w:type="spellEnd"/>
      <w:r>
        <w:t xml:space="preserve"> their muscle and strength. Women tend to have this more because they have less muscle to begin with compared to men. </w:t>
      </w:r>
      <w:r w:rsidR="00072EFC">
        <w:t xml:space="preserve">CHS studies found that people who have higher educational status and income were associated with disease free survival at 3-6 years and had lower morality.  Studies have also shown that frailty occurs in more non-white individuals that does white. People with depression are more likely to be frail because people who are depressed often lose weight, and are less active. This can cause loss of muscle mass, strength, and exercise </w:t>
      </w:r>
      <w:r w:rsidR="00EE47EA">
        <w:t>tolerance, which</w:t>
      </w:r>
      <w:r w:rsidR="00072EFC">
        <w:t xml:space="preserve"> can make them more prone to acute illnesses as well.  </w:t>
      </w:r>
      <w:r w:rsidR="00EE47EA">
        <w:t>(Espinoza</w:t>
      </w:r>
      <w:r w:rsidR="003258B8">
        <w:t xml:space="preserve"> &amp; Fried</w:t>
      </w:r>
      <w:r w:rsidR="00EE47EA">
        <w:t>, 2007)</w:t>
      </w:r>
    </w:p>
    <w:p w:rsidR="00EE47EA" w:rsidRDefault="00EE47EA" w:rsidP="002D056D">
      <w:pPr>
        <w:pStyle w:val="ListParagraph"/>
        <w:ind w:left="1440"/>
      </w:pPr>
    </w:p>
    <w:p w:rsidR="00EE47EA" w:rsidRDefault="00EE47EA" w:rsidP="00EE47EA">
      <w:pPr>
        <w:pStyle w:val="ListParagraph"/>
        <w:numPr>
          <w:ilvl w:val="0"/>
          <w:numId w:val="6"/>
        </w:numPr>
      </w:pPr>
      <w:r>
        <w:t>Which risk factors reviewed for frailty would not be modifiable?</w:t>
      </w:r>
    </w:p>
    <w:p w:rsidR="00874B61" w:rsidRDefault="00EE47EA" w:rsidP="00CD1338">
      <w:pPr>
        <w:pStyle w:val="ListParagraph"/>
        <w:ind w:left="1440" w:firstLine="720"/>
      </w:pPr>
      <w:r>
        <w:t>The risk factors that w</w:t>
      </w:r>
      <w:r w:rsidR="00CD1338">
        <w:t xml:space="preserve">ould not be modifiable are race, socioeconomic status, age, gender, and immune system dysfunction. Someone cannot change his or her race or their gender. What they are born as is what they are there is no changing it.  Also people sometimes cannot control how their immune system works and there for if they have a bad immune system, they are more likely to get sick. Also, with socioeconomic status, it is hard to change because if you do not have an education and cannot afford one then there is no way they can get a better job and get more money.  </w:t>
      </w:r>
    </w:p>
    <w:p w:rsidR="00874B61" w:rsidRDefault="00874B61" w:rsidP="00CD1338">
      <w:pPr>
        <w:pStyle w:val="ListParagraph"/>
        <w:ind w:left="1440" w:firstLine="720"/>
      </w:pPr>
    </w:p>
    <w:p w:rsidR="004445AC" w:rsidRDefault="00874B61" w:rsidP="00217146">
      <w:pPr>
        <w:pStyle w:val="ListParagraph"/>
        <w:numPr>
          <w:ilvl w:val="0"/>
          <w:numId w:val="6"/>
        </w:numPr>
      </w:pPr>
      <w:r>
        <w:t>Nutritional supplements as an alternative medicine intervention for frailty includes the following: (select all that apply)</w:t>
      </w:r>
    </w:p>
    <w:p w:rsidR="00217146" w:rsidRDefault="004445AC" w:rsidP="004445AC">
      <w:pPr>
        <w:pStyle w:val="ListParagraph"/>
        <w:ind w:left="1440"/>
      </w:pPr>
      <w:r>
        <w:t xml:space="preserve">A. </w:t>
      </w:r>
      <w:proofErr w:type="spellStart"/>
      <w:r>
        <w:t>Carotenoids</w:t>
      </w:r>
      <w:proofErr w:type="spellEnd"/>
    </w:p>
    <w:p w:rsidR="004445AC" w:rsidRDefault="00217146" w:rsidP="00217146">
      <w:pPr>
        <w:pStyle w:val="ListParagraph"/>
        <w:ind w:left="1440"/>
      </w:pPr>
      <w:r>
        <w:t>B. Vitamin D</w:t>
      </w:r>
    </w:p>
    <w:p w:rsidR="004445AC" w:rsidRDefault="004445AC" w:rsidP="00217146">
      <w:pPr>
        <w:pStyle w:val="ListParagraph"/>
        <w:ind w:left="1440"/>
      </w:pPr>
      <w:r>
        <w:t xml:space="preserve">D. </w:t>
      </w:r>
      <w:proofErr w:type="spellStart"/>
      <w:r>
        <w:t>Creatine</w:t>
      </w:r>
      <w:proofErr w:type="spellEnd"/>
    </w:p>
    <w:p w:rsidR="000A5D67" w:rsidRDefault="004445AC" w:rsidP="00217146">
      <w:pPr>
        <w:pStyle w:val="ListParagraph"/>
        <w:ind w:left="1440"/>
      </w:pPr>
      <w:r>
        <w:t>E. DHEA</w:t>
      </w:r>
    </w:p>
    <w:p w:rsidR="00217146" w:rsidRDefault="000A5D67" w:rsidP="00217146">
      <w:pPr>
        <w:pStyle w:val="ListParagraph"/>
        <w:ind w:left="1440"/>
      </w:pPr>
      <w:r>
        <w:t>(</w:t>
      </w:r>
      <w:proofErr w:type="spellStart"/>
      <w:r>
        <w:t>Cherniack</w:t>
      </w:r>
      <w:proofErr w:type="spellEnd"/>
      <w:r w:rsidR="003258B8">
        <w:t xml:space="preserve">, </w:t>
      </w:r>
      <w:proofErr w:type="spellStart"/>
      <w:r w:rsidR="003258B8">
        <w:t>Forez</w:t>
      </w:r>
      <w:proofErr w:type="spellEnd"/>
      <w:r w:rsidR="003258B8">
        <w:t xml:space="preserve">, &amp; </w:t>
      </w:r>
      <w:proofErr w:type="spellStart"/>
      <w:r w:rsidR="003258B8">
        <w:t>Troen</w:t>
      </w:r>
      <w:proofErr w:type="spellEnd"/>
      <w:r>
        <w:t>, 2007)</w:t>
      </w:r>
    </w:p>
    <w:p w:rsidR="00217146" w:rsidRDefault="00217146" w:rsidP="00217146">
      <w:pPr>
        <w:pStyle w:val="ListParagraph"/>
        <w:ind w:left="1440"/>
      </w:pPr>
    </w:p>
    <w:p w:rsidR="000A5D67" w:rsidRDefault="00217146" w:rsidP="00217146">
      <w:pPr>
        <w:pStyle w:val="ListParagraph"/>
        <w:numPr>
          <w:ilvl w:val="0"/>
          <w:numId w:val="6"/>
        </w:numPr>
      </w:pPr>
      <w:r>
        <w:t xml:space="preserve">Using the same Internet source, discuss how tai chi may be an appropriate intervention. </w:t>
      </w:r>
    </w:p>
    <w:p w:rsidR="000E0C46" w:rsidRDefault="000A5D67" w:rsidP="002B5023">
      <w:pPr>
        <w:pStyle w:val="ListParagraph"/>
        <w:ind w:left="1440" w:firstLine="720"/>
      </w:pPr>
      <w:r>
        <w:lastRenderedPageBreak/>
        <w:t xml:space="preserve">Tai chi can be useful because it can help with three of the components, which are weakness, slow walking speed, and low physical activity. Tai chi helps with balance a reduced falls. What happens with tai chi is that the people are always moving and it is at a </w:t>
      </w:r>
    </w:p>
    <w:p w:rsidR="000E0C46" w:rsidRDefault="000E0C46" w:rsidP="000E0C46">
      <w:r>
        <w:t>CASE STUDY 5</w:t>
      </w:r>
    </w:p>
    <w:p w:rsidR="000E0C46" w:rsidRDefault="000E0C46" w:rsidP="002B5023">
      <w:pPr>
        <w:pStyle w:val="ListParagraph"/>
        <w:ind w:left="1440" w:firstLine="720"/>
      </w:pPr>
    </w:p>
    <w:p w:rsidR="002B5023" w:rsidRDefault="000A5D67" w:rsidP="000E0C46">
      <w:pPr>
        <w:pStyle w:val="ListParagraph"/>
        <w:ind w:left="1440"/>
      </w:pPr>
      <w:proofErr w:type="gramStart"/>
      <w:r>
        <w:t>slow</w:t>
      </w:r>
      <w:proofErr w:type="gramEnd"/>
      <w:r>
        <w:t xml:space="preserve"> and fast rate and well as a long or short duration. </w:t>
      </w:r>
      <w:r w:rsidR="00BD7B3C">
        <w:t xml:space="preserve"> (</w:t>
      </w:r>
      <w:proofErr w:type="spellStart"/>
      <w:r w:rsidR="00BD7B3C">
        <w:t>Chernia</w:t>
      </w:r>
      <w:r w:rsidR="002B5023">
        <w:t>ck</w:t>
      </w:r>
      <w:proofErr w:type="spellEnd"/>
      <w:r w:rsidR="002B5023">
        <w:t>,</w:t>
      </w:r>
      <w:r w:rsidR="003258B8">
        <w:t xml:space="preserve"> </w:t>
      </w:r>
      <w:proofErr w:type="spellStart"/>
      <w:r w:rsidR="003258B8">
        <w:t>Forez</w:t>
      </w:r>
      <w:proofErr w:type="spellEnd"/>
      <w:r w:rsidR="003258B8">
        <w:t xml:space="preserve">, &amp; </w:t>
      </w:r>
      <w:proofErr w:type="spellStart"/>
      <w:r w:rsidR="003258B8">
        <w:t>Troen</w:t>
      </w:r>
      <w:proofErr w:type="spellEnd"/>
      <w:r w:rsidR="003258B8">
        <w:t>,</w:t>
      </w:r>
      <w:r w:rsidR="002B5023">
        <w:t xml:space="preserve"> 2007)</w:t>
      </w:r>
    </w:p>
    <w:p w:rsidR="00DC5D3C" w:rsidRDefault="002B5023" w:rsidP="000A5D67">
      <w:pPr>
        <w:pStyle w:val="ListParagraph"/>
        <w:ind w:left="1440"/>
      </w:pPr>
      <w:r>
        <w:tab/>
      </w:r>
    </w:p>
    <w:p w:rsidR="000E0C46" w:rsidRDefault="002B5023" w:rsidP="00DC5D3C">
      <w:pPr>
        <w:pStyle w:val="ListParagraph"/>
        <w:ind w:left="1440" w:firstLine="720"/>
      </w:pPr>
      <w:proofErr w:type="gramStart"/>
      <w:r>
        <w:t>So all the movement with tai chi is said to be beneficial because it helps the ability of the body to move better.</w:t>
      </w:r>
      <w:proofErr w:type="gramEnd"/>
      <w:r>
        <w:t xml:space="preserve"> It also keeps the muscles moving making them stronger if they were not being worked at all. </w:t>
      </w:r>
      <w:r w:rsidR="004C7750">
        <w:t xml:space="preserve">The muscle building helps with less falls as well. </w:t>
      </w:r>
    </w:p>
    <w:p w:rsidR="00866E3D" w:rsidRDefault="00866E3D" w:rsidP="00DC5D3C">
      <w:pPr>
        <w:pStyle w:val="ListParagraph"/>
        <w:ind w:left="1440" w:firstLine="720"/>
      </w:pPr>
    </w:p>
    <w:p w:rsidR="00866E3D" w:rsidRDefault="00866E3D" w:rsidP="00866E3D">
      <w:pPr>
        <w:pStyle w:val="ListParagraph"/>
        <w:numPr>
          <w:ilvl w:val="0"/>
          <w:numId w:val="6"/>
        </w:numPr>
      </w:pPr>
      <w:r>
        <w:t xml:space="preserve">What are specific examples used in facilities /agencies which implement universal design. </w:t>
      </w:r>
    </w:p>
    <w:p w:rsidR="006A5FE1" w:rsidRPr="006A5FE1" w:rsidRDefault="006A5FE1" w:rsidP="006A5FE1">
      <w:pPr>
        <w:pStyle w:val="ListParagraph"/>
        <w:ind w:left="1800"/>
      </w:pPr>
      <w:r>
        <w:t>Examples used in facilities/agencies that implement universal design include; e</w:t>
      </w:r>
      <w:r w:rsidR="007833D4">
        <w:t>nvironments that reflect universal design sensitive to older adult needs</w:t>
      </w:r>
      <w:r>
        <w:t>,</w:t>
      </w:r>
      <w:r w:rsidR="007833D4">
        <w:t xml:space="preserve"> </w:t>
      </w:r>
      <w:r w:rsidRPr="006A5FE1">
        <w:rPr>
          <w:rFonts w:ascii="Lucida Grande" w:hAnsi="Lucida Grande" w:cs="Lucida Grande"/>
          <w:sz w:val="22"/>
          <w:szCs w:val="22"/>
        </w:rPr>
        <w:t>specific parking spots that are designed for people with disabilities to get out of their vehicles</w:t>
      </w:r>
      <w:r>
        <w:rPr>
          <w:rFonts w:ascii="Lucida Grande" w:hAnsi="Lucida Grande" w:cs="Lucida Grande"/>
          <w:sz w:val="22"/>
          <w:szCs w:val="22"/>
        </w:rPr>
        <w:t>,</w:t>
      </w:r>
    </w:p>
    <w:p w:rsidR="00217146" w:rsidRDefault="006A5FE1" w:rsidP="006A5FE1">
      <w:pPr>
        <w:pStyle w:val="ListParagraph"/>
        <w:ind w:left="1800"/>
      </w:pPr>
      <w:proofErr w:type="gramStart"/>
      <w:r w:rsidRPr="006A5FE1">
        <w:rPr>
          <w:rFonts w:ascii="Lucida Grande" w:hAnsi="Lucida Grande" w:cs="Lucida Grande"/>
          <w:sz w:val="22"/>
          <w:szCs w:val="22"/>
        </w:rPr>
        <w:t>ensuring</w:t>
      </w:r>
      <w:proofErr w:type="gramEnd"/>
      <w:r w:rsidRPr="006A5FE1">
        <w:rPr>
          <w:rFonts w:ascii="Lucida Grande" w:hAnsi="Lucida Grande" w:cs="Lucida Grande"/>
          <w:sz w:val="22"/>
          <w:szCs w:val="22"/>
        </w:rPr>
        <w:t xml:space="preserve"> that they have enough room</w:t>
      </w:r>
      <w:r>
        <w:rPr>
          <w:rFonts w:ascii="Lucida Grande" w:hAnsi="Lucida Grande" w:cs="Lucida Grande"/>
          <w:sz w:val="22"/>
          <w:szCs w:val="22"/>
        </w:rPr>
        <w:t xml:space="preserve">, </w:t>
      </w:r>
      <w:r w:rsidRPr="006A5FE1">
        <w:rPr>
          <w:rFonts w:ascii="Lucida Grande" w:hAnsi="Lucida Grande" w:cs="Lucida Grande"/>
          <w:sz w:val="22"/>
          <w:szCs w:val="22"/>
        </w:rPr>
        <w:t>curb cuts in hallways so people can move around easier in their wheelchairs or walkers</w:t>
      </w:r>
      <w:r>
        <w:rPr>
          <w:rFonts w:ascii="Lucida Grande" w:hAnsi="Lucida Grande" w:cs="Lucida Grande"/>
          <w:sz w:val="22"/>
          <w:szCs w:val="22"/>
        </w:rPr>
        <w:t>, and automatic door openers</w:t>
      </w:r>
      <w:r w:rsidRPr="006A5FE1">
        <w:rPr>
          <w:rFonts w:ascii="Lucida Grande" w:hAnsi="Lucida Grande" w:cs="Lucida Grande"/>
          <w:sz w:val="22"/>
          <w:szCs w:val="22"/>
        </w:rPr>
        <w:t xml:space="preserve"> </w:t>
      </w:r>
      <w:r>
        <w:t>(</w:t>
      </w:r>
      <w:proofErr w:type="spellStart"/>
      <w:r>
        <w:t>Benefield</w:t>
      </w:r>
      <w:proofErr w:type="spellEnd"/>
      <w:r>
        <w:t xml:space="preserve"> &amp; </w:t>
      </w:r>
      <w:proofErr w:type="spellStart"/>
      <w:r>
        <w:t>Higbee</w:t>
      </w:r>
      <w:proofErr w:type="spellEnd"/>
      <w:r>
        <w:t xml:space="preserve">, 2007). </w:t>
      </w:r>
    </w:p>
    <w:p w:rsidR="00846AE3" w:rsidRDefault="00846AE3" w:rsidP="006A5FE1">
      <w:pPr>
        <w:pStyle w:val="ListParagraph"/>
        <w:ind w:left="1800"/>
      </w:pPr>
    </w:p>
    <w:p w:rsidR="00846AE3" w:rsidRDefault="00846AE3" w:rsidP="00846AE3">
      <w:pPr>
        <w:autoSpaceDE w:val="0"/>
        <w:autoSpaceDN w:val="0"/>
        <w:adjustRightInd w:val="0"/>
        <w:spacing w:after="0"/>
      </w:pPr>
      <w:r w:rsidRPr="00846AE3">
        <w:rPr>
          <w:rFonts w:ascii="ITCGaramondStd-Bk" w:hAnsi="ITCGaramondStd-Bk" w:cs="ITCGaramondStd-Bk"/>
          <w:color w:val="FF0000"/>
          <w:sz w:val="20"/>
          <w:szCs w:val="20"/>
        </w:rPr>
        <w:t>Installing standard electrical receptacles higher than usual above the floor, so they are in easy reach of everyone; • Selecting wider doors, along with wider hallways; • Making flat entrances; operate—such as louver or loop handles; • Provide storage spaces within reach of both short and tall people; • Minimize the need for staircases; • Any and all procedures, equipment, and strategies promoting safety to avoid falls or injuries</w:t>
      </w:r>
      <w:r>
        <w:rPr>
          <w:rFonts w:ascii="ITCGaramondStd-Bk" w:hAnsi="ITCGaramondStd-Bk" w:cs="ITCGaramondStd-Bk"/>
          <w:sz w:val="20"/>
          <w:szCs w:val="20"/>
        </w:rPr>
        <w:t xml:space="preserve">. </w:t>
      </w:r>
    </w:p>
    <w:p w:rsidR="00F31BF7" w:rsidRDefault="00F31BF7" w:rsidP="00217146">
      <w:pPr>
        <w:pStyle w:val="ListParagraph"/>
        <w:ind w:left="1440"/>
      </w:pPr>
    </w:p>
    <w:p w:rsidR="00F31BF7" w:rsidRDefault="00F31BF7" w:rsidP="00E06D38">
      <w:pPr>
        <w:jc w:val="center"/>
      </w:pPr>
    </w:p>
    <w:p w:rsidR="00F31BF7" w:rsidRDefault="00F31BF7" w:rsidP="00E06D38">
      <w:pPr>
        <w:jc w:val="center"/>
      </w:pPr>
    </w:p>
    <w:p w:rsidR="00F31BF7" w:rsidRDefault="00F31BF7" w:rsidP="00E06D38">
      <w:pPr>
        <w:jc w:val="center"/>
      </w:pPr>
    </w:p>
    <w:p w:rsidR="00F31BF7" w:rsidRDefault="00F31BF7" w:rsidP="00E06D38">
      <w:pPr>
        <w:jc w:val="center"/>
      </w:pPr>
    </w:p>
    <w:p w:rsidR="00F31BF7" w:rsidRDefault="00F31BF7" w:rsidP="00E06D38">
      <w:pPr>
        <w:jc w:val="center"/>
      </w:pPr>
    </w:p>
    <w:p w:rsidR="00F31BF7" w:rsidRDefault="00F31BF7" w:rsidP="00E06D38">
      <w:pPr>
        <w:jc w:val="center"/>
      </w:pPr>
    </w:p>
    <w:p w:rsidR="00F31BF7" w:rsidRDefault="00F31BF7" w:rsidP="00E06D38">
      <w:pPr>
        <w:jc w:val="center"/>
      </w:pPr>
    </w:p>
    <w:p w:rsidR="00F31BF7" w:rsidRDefault="00F31BF7" w:rsidP="00E06D38">
      <w:pPr>
        <w:jc w:val="center"/>
      </w:pPr>
    </w:p>
    <w:p w:rsidR="00F31BF7" w:rsidRDefault="00F31BF7" w:rsidP="00E06D38">
      <w:pPr>
        <w:jc w:val="center"/>
      </w:pPr>
    </w:p>
    <w:p w:rsidR="00F31BF7" w:rsidRDefault="00F31BF7" w:rsidP="00E06D38">
      <w:pPr>
        <w:jc w:val="center"/>
      </w:pPr>
    </w:p>
    <w:p w:rsidR="00F31BF7" w:rsidRDefault="00F31BF7" w:rsidP="00E06D38">
      <w:pPr>
        <w:jc w:val="center"/>
      </w:pPr>
    </w:p>
    <w:p w:rsidR="00F31BF7" w:rsidRDefault="00F31BF7" w:rsidP="00E06D38">
      <w:pPr>
        <w:jc w:val="center"/>
      </w:pPr>
    </w:p>
    <w:p w:rsidR="00F31BF7" w:rsidRDefault="00F31BF7" w:rsidP="00E06D38">
      <w:pPr>
        <w:jc w:val="center"/>
      </w:pPr>
    </w:p>
    <w:p w:rsidR="00F31BF7" w:rsidRDefault="00F31BF7" w:rsidP="00E06D38">
      <w:pPr>
        <w:jc w:val="center"/>
      </w:pPr>
    </w:p>
    <w:p w:rsidR="00F31BF7" w:rsidRDefault="00F31BF7" w:rsidP="00E06D38">
      <w:pPr>
        <w:jc w:val="center"/>
      </w:pPr>
    </w:p>
    <w:p w:rsidR="00321E5C" w:rsidRPr="00321E5C" w:rsidRDefault="00632015" w:rsidP="00421A03">
      <w:pPr>
        <w:spacing w:line="480" w:lineRule="auto"/>
      </w:pPr>
      <w:r>
        <w:t xml:space="preserve">CASE STUDY </w:t>
      </w:r>
      <w:r w:rsidR="009B53E6">
        <w:t>5</w:t>
      </w:r>
    </w:p>
    <w:p w:rsidR="009C5FF6" w:rsidRDefault="00321E5C" w:rsidP="00421A03">
      <w:pPr>
        <w:spacing w:line="480" w:lineRule="auto"/>
        <w:ind w:left="90"/>
        <w:jc w:val="center"/>
      </w:pPr>
      <w:r w:rsidRPr="00321E5C">
        <w:t>References</w:t>
      </w:r>
    </w:p>
    <w:p w:rsidR="00300706" w:rsidRDefault="006134F8" w:rsidP="00421A03">
      <w:pPr>
        <w:widowControl w:val="0"/>
        <w:numPr>
          <w:ilvl w:val="0"/>
          <w:numId w:val="2"/>
        </w:numPr>
        <w:tabs>
          <w:tab w:val="left" w:pos="220"/>
          <w:tab w:val="left" w:pos="720"/>
        </w:tabs>
        <w:autoSpaceDE w:val="0"/>
        <w:autoSpaceDN w:val="0"/>
        <w:adjustRightInd w:val="0"/>
        <w:spacing w:after="0" w:line="480" w:lineRule="auto"/>
        <w:ind w:left="720" w:hanging="720"/>
        <w:rPr>
          <w:rFonts w:cs="Lucida Grande"/>
          <w:color w:val="333333"/>
          <w:sz w:val="22"/>
          <w:szCs w:val="22"/>
        </w:rPr>
      </w:pPr>
      <w:proofErr w:type="spellStart"/>
      <w:r>
        <w:rPr>
          <w:rFonts w:cs="Lucida Grande"/>
          <w:color w:val="333333"/>
          <w:sz w:val="22"/>
          <w:szCs w:val="22"/>
        </w:rPr>
        <w:t>Benefield</w:t>
      </w:r>
      <w:proofErr w:type="spellEnd"/>
      <w:r>
        <w:rPr>
          <w:rFonts w:cs="Lucida Grande"/>
          <w:color w:val="333333"/>
          <w:sz w:val="22"/>
          <w:szCs w:val="22"/>
        </w:rPr>
        <w:t>, L.E., &amp;</w:t>
      </w:r>
      <w:r w:rsidR="00846AE3">
        <w:rPr>
          <w:rFonts w:cs="Lucida Grande"/>
          <w:color w:val="333333"/>
          <w:sz w:val="22"/>
          <w:szCs w:val="22"/>
        </w:rPr>
        <w:t xml:space="preserve"> </w:t>
      </w:r>
      <w:proofErr w:type="spellStart"/>
      <w:r>
        <w:rPr>
          <w:rFonts w:cs="Lucida Grande"/>
          <w:color w:val="333333"/>
          <w:sz w:val="22"/>
          <w:szCs w:val="22"/>
        </w:rPr>
        <w:t>Higbee</w:t>
      </w:r>
      <w:proofErr w:type="gramStart"/>
      <w:r>
        <w:rPr>
          <w:rFonts w:cs="Lucida Grande"/>
          <w:color w:val="333333"/>
          <w:sz w:val="22"/>
          <w:szCs w:val="22"/>
        </w:rPr>
        <w:t>,R</w:t>
      </w:r>
      <w:proofErr w:type="spellEnd"/>
      <w:proofErr w:type="gramEnd"/>
      <w:r>
        <w:rPr>
          <w:rFonts w:cs="Lucida Grande"/>
          <w:color w:val="333333"/>
          <w:sz w:val="22"/>
          <w:szCs w:val="22"/>
        </w:rPr>
        <w:t xml:space="preserve">. L. (2007). </w:t>
      </w:r>
      <w:r>
        <w:rPr>
          <w:rFonts w:cs="Lucida Grande"/>
          <w:i/>
          <w:color w:val="333333"/>
          <w:sz w:val="22"/>
          <w:szCs w:val="22"/>
        </w:rPr>
        <w:t xml:space="preserve">Frailty </w:t>
      </w:r>
      <w:r w:rsidRPr="00846AE3">
        <w:rPr>
          <w:rFonts w:cs="Lucida Grande"/>
          <w:i/>
          <w:sz w:val="22"/>
          <w:szCs w:val="22"/>
        </w:rPr>
        <w:t>and its implication for care.</w:t>
      </w:r>
      <w:r>
        <w:rPr>
          <w:rFonts w:cs="Lucida Grande"/>
          <w:i/>
          <w:color w:val="333333"/>
          <w:sz w:val="22"/>
          <w:szCs w:val="22"/>
        </w:rPr>
        <w:t xml:space="preserve"> </w:t>
      </w:r>
      <w:r>
        <w:rPr>
          <w:rFonts w:cs="Lucida Grande"/>
          <w:color w:val="333333"/>
          <w:sz w:val="22"/>
          <w:szCs w:val="22"/>
        </w:rPr>
        <w:t xml:space="preserve">Hartford Institute for Geriatric Nursing. Retrieved from </w:t>
      </w:r>
      <w:hyperlink r:id="rId8" w:anchor="item_3" w:history="1">
        <w:r w:rsidR="00300706" w:rsidRPr="000E71DB">
          <w:rPr>
            <w:rStyle w:val="Hyperlink"/>
            <w:rFonts w:cs="Lucida Grande"/>
            <w:sz w:val="22"/>
            <w:szCs w:val="22"/>
          </w:rPr>
          <w:t>http://consultgerirn.org/topics/frailty_and_its_implications_for_care_new/want_to_know_more#item_3</w:t>
        </w:r>
      </w:hyperlink>
    </w:p>
    <w:p w:rsidR="00300706" w:rsidRDefault="00300706" w:rsidP="00421A03">
      <w:pPr>
        <w:widowControl w:val="0"/>
        <w:numPr>
          <w:ilvl w:val="0"/>
          <w:numId w:val="2"/>
        </w:numPr>
        <w:tabs>
          <w:tab w:val="left" w:pos="220"/>
          <w:tab w:val="left" w:pos="720"/>
        </w:tabs>
        <w:autoSpaceDE w:val="0"/>
        <w:autoSpaceDN w:val="0"/>
        <w:adjustRightInd w:val="0"/>
        <w:spacing w:after="0" w:line="480" w:lineRule="auto"/>
        <w:ind w:left="720" w:hanging="720"/>
        <w:rPr>
          <w:rFonts w:cs="Lucida Grande"/>
          <w:color w:val="333333"/>
          <w:sz w:val="22"/>
          <w:szCs w:val="22"/>
        </w:rPr>
      </w:pPr>
      <w:proofErr w:type="spellStart"/>
      <w:r>
        <w:rPr>
          <w:rFonts w:cs="Lucida Grande"/>
          <w:color w:val="333333"/>
          <w:sz w:val="22"/>
          <w:szCs w:val="22"/>
        </w:rPr>
        <w:t>Cheniak</w:t>
      </w:r>
      <w:proofErr w:type="spellEnd"/>
      <w:r>
        <w:rPr>
          <w:rFonts w:cs="Lucida Grande"/>
          <w:color w:val="333333"/>
          <w:sz w:val="22"/>
          <w:szCs w:val="22"/>
        </w:rPr>
        <w:t xml:space="preserve">, E. P., </w:t>
      </w:r>
      <w:proofErr w:type="spellStart"/>
      <w:r>
        <w:rPr>
          <w:rFonts w:cs="Lucida Grande"/>
          <w:color w:val="333333"/>
          <w:sz w:val="22"/>
          <w:szCs w:val="22"/>
        </w:rPr>
        <w:t>Forez</w:t>
      </w:r>
      <w:proofErr w:type="spellEnd"/>
      <w:r>
        <w:rPr>
          <w:rFonts w:cs="Lucida Grande"/>
          <w:color w:val="333333"/>
          <w:sz w:val="22"/>
          <w:szCs w:val="22"/>
        </w:rPr>
        <w:t xml:space="preserve">, H.J. &amp; </w:t>
      </w:r>
      <w:proofErr w:type="spellStart"/>
      <w:r>
        <w:rPr>
          <w:rFonts w:cs="Lucida Grande"/>
          <w:color w:val="333333"/>
          <w:sz w:val="22"/>
          <w:szCs w:val="22"/>
        </w:rPr>
        <w:t>Troen</w:t>
      </w:r>
      <w:proofErr w:type="spellEnd"/>
      <w:r>
        <w:rPr>
          <w:rFonts w:cs="Lucida Grande"/>
          <w:color w:val="333333"/>
          <w:sz w:val="22"/>
          <w:szCs w:val="22"/>
        </w:rPr>
        <w:t xml:space="preserve">, B.R. (2007). Emerging therapies to treat frailty syndrome in the elderly. </w:t>
      </w:r>
      <w:r>
        <w:rPr>
          <w:rFonts w:cs="Lucida Grande"/>
          <w:i/>
          <w:color w:val="333333"/>
          <w:sz w:val="22"/>
          <w:szCs w:val="22"/>
        </w:rPr>
        <w:t>Alternative Medicine Review</w:t>
      </w:r>
      <w:r>
        <w:rPr>
          <w:rFonts w:cs="Lucida Grande"/>
          <w:color w:val="333333"/>
          <w:sz w:val="22"/>
          <w:szCs w:val="22"/>
        </w:rPr>
        <w:t xml:space="preserve">. Retrieved from </w:t>
      </w:r>
      <w:hyperlink r:id="rId9" w:history="1">
        <w:r w:rsidRPr="000E71DB">
          <w:rPr>
            <w:rStyle w:val="Hyperlink"/>
            <w:rFonts w:cs="Lucida Grande"/>
            <w:sz w:val="22"/>
            <w:szCs w:val="22"/>
          </w:rPr>
          <w:t>http://findarticles.com/p/articles/mi_m0FDN/is_3_12/ai_n27421818/pg_5/?tag=content;col1</w:t>
        </w:r>
      </w:hyperlink>
    </w:p>
    <w:p w:rsidR="006B4359" w:rsidRPr="00321E5C" w:rsidRDefault="000D42E3" w:rsidP="00421A03">
      <w:pPr>
        <w:widowControl w:val="0"/>
        <w:numPr>
          <w:ilvl w:val="0"/>
          <w:numId w:val="2"/>
        </w:numPr>
        <w:tabs>
          <w:tab w:val="left" w:pos="220"/>
          <w:tab w:val="left" w:pos="720"/>
        </w:tabs>
        <w:autoSpaceDE w:val="0"/>
        <w:autoSpaceDN w:val="0"/>
        <w:adjustRightInd w:val="0"/>
        <w:spacing w:after="0" w:line="480" w:lineRule="auto"/>
        <w:ind w:left="720" w:hanging="720"/>
        <w:rPr>
          <w:rFonts w:cs="Lucida Grande"/>
          <w:color w:val="333333"/>
          <w:sz w:val="22"/>
          <w:szCs w:val="22"/>
        </w:rPr>
      </w:pPr>
      <w:r>
        <w:rPr>
          <w:rFonts w:cs="Lucida Grande"/>
          <w:color w:val="333333"/>
          <w:sz w:val="22"/>
          <w:szCs w:val="22"/>
        </w:rPr>
        <w:t>Espinoza</w:t>
      </w:r>
      <w:r w:rsidR="00300706">
        <w:rPr>
          <w:rFonts w:cs="Lucida Grande"/>
          <w:color w:val="333333"/>
          <w:sz w:val="22"/>
          <w:szCs w:val="22"/>
        </w:rPr>
        <w:t xml:space="preserve">, S. E., &amp; Fried, L. P.  (2007). </w:t>
      </w:r>
      <w:r w:rsidR="00300706">
        <w:rPr>
          <w:rFonts w:cs="Lucida Grande"/>
          <w:i/>
          <w:color w:val="333333"/>
          <w:sz w:val="22"/>
          <w:szCs w:val="22"/>
        </w:rPr>
        <w:t xml:space="preserve">Risk factors for frailty in the older adult. </w:t>
      </w:r>
      <w:r w:rsidR="00300706">
        <w:rPr>
          <w:rFonts w:cs="Lucida Grande"/>
          <w:color w:val="333333"/>
          <w:sz w:val="22"/>
          <w:szCs w:val="22"/>
        </w:rPr>
        <w:t xml:space="preserve"> John Hopkins Medicine. </w:t>
      </w:r>
      <w:r w:rsidR="009E2B08">
        <w:rPr>
          <w:rFonts w:cs="Lucida Grande"/>
          <w:color w:val="333333"/>
          <w:sz w:val="22"/>
          <w:szCs w:val="22"/>
        </w:rPr>
        <w:t>Retrieved</w:t>
      </w:r>
      <w:r w:rsidR="00300706">
        <w:rPr>
          <w:rFonts w:cs="Lucida Grande"/>
          <w:color w:val="333333"/>
          <w:sz w:val="22"/>
          <w:szCs w:val="22"/>
        </w:rPr>
        <w:t xml:space="preserve"> from </w:t>
      </w:r>
      <w:r w:rsidR="009E2B08" w:rsidRPr="009E2B08">
        <w:rPr>
          <w:rFonts w:cs="Lucida Grande"/>
          <w:color w:val="333333"/>
          <w:sz w:val="22"/>
          <w:szCs w:val="22"/>
        </w:rPr>
        <w:t>http://www.imsersomayores.csic.es/documentos/boletin/2007/numero-52/art-07-07-01.pdf</w:t>
      </w:r>
    </w:p>
    <w:p w:rsidR="00806834" w:rsidRDefault="00806834" w:rsidP="00421A03">
      <w:pPr>
        <w:spacing w:line="480" w:lineRule="auto"/>
        <w:ind w:left="1440"/>
      </w:pPr>
    </w:p>
    <w:sectPr w:rsidR="00806834" w:rsidSect="00806834">
      <w:headerReference w:type="even" r:id="rId10"/>
      <w:headerReference w:type="default" r:id="rId11"/>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26T22:09:00Z" w:initials="M">
    <w:p w:rsidR="00846AE3" w:rsidRDefault="00846AE3">
      <w:pPr>
        <w:pStyle w:val="CommentText"/>
      </w:pPr>
      <w:r>
        <w:rPr>
          <w:rStyle w:val="CommentReference"/>
        </w:rPr>
        <w:annotationRef/>
      </w:r>
      <w:proofErr w:type="spellStart"/>
      <w:r>
        <w:t>Inproper</w:t>
      </w:r>
      <w:proofErr w:type="spellEnd"/>
      <w:r>
        <w:t xml:space="preserve"> Running head. Get someone to help you with this. Go see the Librarian or Becky if in Charleston</w:t>
      </w:r>
    </w:p>
  </w:comment>
  <w:comment w:id="1" w:author="Mary" w:date="2012-02-26T22:10:00Z" w:initials="M">
    <w:p w:rsidR="00846AE3" w:rsidRDefault="00846AE3">
      <w:pPr>
        <w:pStyle w:val="CommentText"/>
      </w:pPr>
      <w:r>
        <w:rPr>
          <w:rStyle w:val="CommentReference"/>
        </w:rPr>
        <w:annotationRef/>
      </w:r>
      <w:r>
        <w:t>APA calls for double space</w:t>
      </w:r>
    </w:p>
    <w:p w:rsidR="00846AE3" w:rsidRDefault="00846AE3">
      <w:pPr>
        <w:pStyle w:val="CommentText"/>
      </w:pPr>
    </w:p>
  </w:comment>
  <w:comment w:id="2" w:author="Mary" w:date="2012-02-26T22:11:00Z" w:initials="M">
    <w:p w:rsidR="00846AE3" w:rsidRDefault="00846AE3">
      <w:pPr>
        <w:pStyle w:val="CommentText"/>
      </w:pPr>
      <w:r>
        <w:rPr>
          <w:rStyle w:val="CommentReference"/>
        </w:rPr>
        <w:annotationRef/>
      </w:r>
      <w:r>
        <w:t>Need page number if use a direct quote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E44" w:rsidRDefault="00480E44" w:rsidP="00480E44">
      <w:pPr>
        <w:spacing w:after="0"/>
      </w:pPr>
      <w:r>
        <w:separator/>
      </w:r>
    </w:p>
  </w:endnote>
  <w:endnote w:type="continuationSeparator" w:id="0">
    <w:p w:rsidR="00480E44" w:rsidRDefault="00480E44" w:rsidP="00480E4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ITCGaramondStd-B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E44" w:rsidRDefault="00480E44" w:rsidP="00480E44">
      <w:pPr>
        <w:spacing w:after="0"/>
      </w:pPr>
      <w:r>
        <w:separator/>
      </w:r>
    </w:p>
  </w:footnote>
  <w:footnote w:type="continuationSeparator" w:id="0">
    <w:p w:rsidR="00480E44" w:rsidRDefault="00480E44" w:rsidP="00480E4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706" w:rsidRDefault="00480E44" w:rsidP="00806834">
    <w:pPr>
      <w:pStyle w:val="Header"/>
      <w:framePr w:wrap="around" w:vAnchor="text" w:hAnchor="margin" w:xAlign="right" w:y="1"/>
      <w:rPr>
        <w:rStyle w:val="PageNumber"/>
      </w:rPr>
    </w:pPr>
    <w:r>
      <w:rPr>
        <w:rStyle w:val="PageNumber"/>
      </w:rPr>
      <w:fldChar w:fldCharType="begin"/>
    </w:r>
    <w:r w:rsidR="00300706">
      <w:rPr>
        <w:rStyle w:val="PageNumber"/>
      </w:rPr>
      <w:instrText xml:space="preserve">PAGE  </w:instrText>
    </w:r>
    <w:r>
      <w:rPr>
        <w:rStyle w:val="PageNumber"/>
      </w:rPr>
      <w:fldChar w:fldCharType="end"/>
    </w:r>
  </w:p>
  <w:p w:rsidR="00300706" w:rsidRDefault="00300706" w:rsidP="00E06D3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706" w:rsidRDefault="00480E44" w:rsidP="00806834">
    <w:pPr>
      <w:pStyle w:val="Header"/>
      <w:framePr w:wrap="around" w:vAnchor="text" w:hAnchor="margin" w:xAlign="right" w:y="1"/>
      <w:rPr>
        <w:rStyle w:val="PageNumber"/>
      </w:rPr>
    </w:pPr>
    <w:r>
      <w:rPr>
        <w:rStyle w:val="PageNumber"/>
      </w:rPr>
      <w:fldChar w:fldCharType="begin"/>
    </w:r>
    <w:r w:rsidR="00300706">
      <w:rPr>
        <w:rStyle w:val="PageNumber"/>
      </w:rPr>
      <w:instrText xml:space="preserve">PAGE  </w:instrText>
    </w:r>
    <w:r>
      <w:rPr>
        <w:rStyle w:val="PageNumber"/>
      </w:rPr>
      <w:fldChar w:fldCharType="separate"/>
    </w:r>
    <w:r w:rsidR="00846AE3">
      <w:rPr>
        <w:rStyle w:val="PageNumber"/>
        <w:noProof/>
      </w:rPr>
      <w:t>1</w:t>
    </w:r>
    <w:r>
      <w:rPr>
        <w:rStyle w:val="PageNumber"/>
      </w:rPr>
      <w:fldChar w:fldCharType="end"/>
    </w:r>
  </w:p>
  <w:p w:rsidR="00300706" w:rsidRDefault="00300706" w:rsidP="00E06D38">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0C81A30"/>
    <w:lvl w:ilvl="0" w:tplc="2392FE06">
      <w:numFmt w:val="none"/>
      <w:lvlText w:val=""/>
      <w:lvlJc w:val="left"/>
      <w:pPr>
        <w:tabs>
          <w:tab w:val="num" w:pos="360"/>
        </w:tabs>
      </w:pPr>
    </w:lvl>
    <w:lvl w:ilvl="1" w:tplc="DF40176A">
      <w:numFmt w:val="decimal"/>
      <w:lvlText w:val=""/>
      <w:lvlJc w:val="left"/>
    </w:lvl>
    <w:lvl w:ilvl="2" w:tplc="8FDA138A">
      <w:numFmt w:val="decimal"/>
      <w:lvlText w:val=""/>
      <w:lvlJc w:val="left"/>
    </w:lvl>
    <w:lvl w:ilvl="3" w:tplc="02408C94">
      <w:numFmt w:val="decimal"/>
      <w:lvlText w:val=""/>
      <w:lvlJc w:val="left"/>
    </w:lvl>
    <w:lvl w:ilvl="4" w:tplc="7C2E6EF0">
      <w:numFmt w:val="decimal"/>
      <w:lvlText w:val=""/>
      <w:lvlJc w:val="left"/>
    </w:lvl>
    <w:lvl w:ilvl="5" w:tplc="64988B3C">
      <w:numFmt w:val="decimal"/>
      <w:lvlText w:val=""/>
      <w:lvlJc w:val="left"/>
    </w:lvl>
    <w:lvl w:ilvl="6" w:tplc="19B6A424">
      <w:numFmt w:val="decimal"/>
      <w:lvlText w:val=""/>
      <w:lvlJc w:val="left"/>
    </w:lvl>
    <w:lvl w:ilvl="7" w:tplc="9F7852C2">
      <w:numFmt w:val="decimal"/>
      <w:lvlText w:val=""/>
      <w:lvlJc w:val="left"/>
    </w:lvl>
    <w:lvl w:ilvl="8" w:tplc="56F2D230">
      <w:numFmt w:val="decimal"/>
      <w:lvlText w:val=""/>
      <w:lvlJc w:val="left"/>
    </w:lvl>
  </w:abstractNum>
  <w:abstractNum w:abstractNumId="1">
    <w:nsid w:val="1973154F"/>
    <w:multiLevelType w:val="hybridMultilevel"/>
    <w:tmpl w:val="F3CEDEB0"/>
    <w:lvl w:ilvl="0" w:tplc="69C2D0DA">
      <w:start w:val="10"/>
      <w:numFmt w:val="bullet"/>
      <w:lvlText w:val="-"/>
      <w:lvlJc w:val="left"/>
      <w:pPr>
        <w:ind w:left="1800" w:hanging="360"/>
      </w:pPr>
      <w:rPr>
        <w:rFonts w:ascii="Cambria" w:eastAsiaTheme="minorHAnsi" w:hAnsi="Cambria"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5FE0082"/>
    <w:multiLevelType w:val="hybridMultilevel"/>
    <w:tmpl w:val="DA743B2E"/>
    <w:lvl w:ilvl="0" w:tplc="CDEEC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4320AB"/>
    <w:multiLevelType w:val="hybridMultilevel"/>
    <w:tmpl w:val="C3567488"/>
    <w:lvl w:ilvl="0" w:tplc="CDEEC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D874D6"/>
    <w:multiLevelType w:val="hybridMultilevel"/>
    <w:tmpl w:val="EE409D8E"/>
    <w:lvl w:ilvl="0" w:tplc="4E80D77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2781167"/>
    <w:multiLevelType w:val="multilevel"/>
    <w:tmpl w:val="C35674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9F7475D"/>
    <w:multiLevelType w:val="hybridMultilevel"/>
    <w:tmpl w:val="431E65EE"/>
    <w:lvl w:ilvl="0" w:tplc="CDEEC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E06D38"/>
    <w:rsid w:val="000139C4"/>
    <w:rsid w:val="00072EFC"/>
    <w:rsid w:val="000A5D67"/>
    <w:rsid w:val="000D2FCC"/>
    <w:rsid w:val="000D42E3"/>
    <w:rsid w:val="000E0C46"/>
    <w:rsid w:val="0012555A"/>
    <w:rsid w:val="0012609B"/>
    <w:rsid w:val="00134A39"/>
    <w:rsid w:val="00217146"/>
    <w:rsid w:val="002B5023"/>
    <w:rsid w:val="002D056D"/>
    <w:rsid w:val="00300706"/>
    <w:rsid w:val="00317B6A"/>
    <w:rsid w:val="00321E5C"/>
    <w:rsid w:val="003258B8"/>
    <w:rsid w:val="00342592"/>
    <w:rsid w:val="00393A7B"/>
    <w:rsid w:val="003E5B16"/>
    <w:rsid w:val="003E77E0"/>
    <w:rsid w:val="00401527"/>
    <w:rsid w:val="00421A03"/>
    <w:rsid w:val="00422CB7"/>
    <w:rsid w:val="00431F6C"/>
    <w:rsid w:val="004445AC"/>
    <w:rsid w:val="00477C6C"/>
    <w:rsid w:val="00480E44"/>
    <w:rsid w:val="004B7EBE"/>
    <w:rsid w:val="004C7750"/>
    <w:rsid w:val="004E40C7"/>
    <w:rsid w:val="004F1917"/>
    <w:rsid w:val="00505754"/>
    <w:rsid w:val="00585D24"/>
    <w:rsid w:val="00592981"/>
    <w:rsid w:val="005E3213"/>
    <w:rsid w:val="0060458C"/>
    <w:rsid w:val="006134F8"/>
    <w:rsid w:val="00631F36"/>
    <w:rsid w:val="00632015"/>
    <w:rsid w:val="00697F32"/>
    <w:rsid w:val="006A5FE1"/>
    <w:rsid w:val="006B4359"/>
    <w:rsid w:val="006D5D2B"/>
    <w:rsid w:val="00706776"/>
    <w:rsid w:val="007833D4"/>
    <w:rsid w:val="007D4E17"/>
    <w:rsid w:val="0080468E"/>
    <w:rsid w:val="0080665A"/>
    <w:rsid w:val="00806834"/>
    <w:rsid w:val="00824016"/>
    <w:rsid w:val="00846AE3"/>
    <w:rsid w:val="00865C44"/>
    <w:rsid w:val="00866E3D"/>
    <w:rsid w:val="00874B61"/>
    <w:rsid w:val="00890C6E"/>
    <w:rsid w:val="008E5A72"/>
    <w:rsid w:val="008E5DF8"/>
    <w:rsid w:val="00914CF2"/>
    <w:rsid w:val="00981CA7"/>
    <w:rsid w:val="009B53E6"/>
    <w:rsid w:val="009C33A3"/>
    <w:rsid w:val="009C5FF6"/>
    <w:rsid w:val="009D44FF"/>
    <w:rsid w:val="009D7B65"/>
    <w:rsid w:val="009E2B08"/>
    <w:rsid w:val="00A0471A"/>
    <w:rsid w:val="00A251B0"/>
    <w:rsid w:val="00A26F42"/>
    <w:rsid w:val="00A62241"/>
    <w:rsid w:val="00AA234E"/>
    <w:rsid w:val="00AE48E7"/>
    <w:rsid w:val="00AF6772"/>
    <w:rsid w:val="00B87476"/>
    <w:rsid w:val="00BD3EF3"/>
    <w:rsid w:val="00BD7B3C"/>
    <w:rsid w:val="00BF15D4"/>
    <w:rsid w:val="00BF5B45"/>
    <w:rsid w:val="00C43120"/>
    <w:rsid w:val="00C6420D"/>
    <w:rsid w:val="00CC087D"/>
    <w:rsid w:val="00CD1338"/>
    <w:rsid w:val="00D00B48"/>
    <w:rsid w:val="00D525A1"/>
    <w:rsid w:val="00DA1FF0"/>
    <w:rsid w:val="00DB48E8"/>
    <w:rsid w:val="00DC1380"/>
    <w:rsid w:val="00DC5D3C"/>
    <w:rsid w:val="00DD175C"/>
    <w:rsid w:val="00DE16D6"/>
    <w:rsid w:val="00E06D38"/>
    <w:rsid w:val="00E3106B"/>
    <w:rsid w:val="00E51A36"/>
    <w:rsid w:val="00E67809"/>
    <w:rsid w:val="00EE47EA"/>
    <w:rsid w:val="00EF0481"/>
    <w:rsid w:val="00F31BF7"/>
    <w:rsid w:val="00F97741"/>
    <w:rsid w:val="00FC1CE3"/>
    <w:rsid w:val="00FC3C5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1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6D38"/>
    <w:pPr>
      <w:tabs>
        <w:tab w:val="center" w:pos="4320"/>
        <w:tab w:val="right" w:pos="8640"/>
      </w:tabs>
      <w:spacing w:after="0"/>
    </w:pPr>
  </w:style>
  <w:style w:type="character" w:customStyle="1" w:styleId="HeaderChar">
    <w:name w:val="Header Char"/>
    <w:basedOn w:val="DefaultParagraphFont"/>
    <w:link w:val="Header"/>
    <w:uiPriority w:val="99"/>
    <w:semiHidden/>
    <w:rsid w:val="00E06D38"/>
  </w:style>
  <w:style w:type="character" w:styleId="PageNumber">
    <w:name w:val="page number"/>
    <w:basedOn w:val="DefaultParagraphFont"/>
    <w:uiPriority w:val="99"/>
    <w:semiHidden/>
    <w:unhideWhenUsed/>
    <w:rsid w:val="00E06D38"/>
  </w:style>
  <w:style w:type="paragraph" w:styleId="ListParagraph">
    <w:name w:val="List Paragraph"/>
    <w:basedOn w:val="Normal"/>
    <w:uiPriority w:val="34"/>
    <w:qFormat/>
    <w:rsid w:val="00E06D38"/>
    <w:pPr>
      <w:ind w:left="720"/>
      <w:contextualSpacing/>
    </w:pPr>
  </w:style>
  <w:style w:type="character" w:styleId="Hyperlink">
    <w:name w:val="Hyperlink"/>
    <w:basedOn w:val="DefaultParagraphFont"/>
    <w:uiPriority w:val="99"/>
    <w:semiHidden/>
    <w:unhideWhenUsed/>
    <w:rsid w:val="00706776"/>
    <w:rPr>
      <w:color w:val="0000FF" w:themeColor="hyperlink"/>
      <w:u w:val="single"/>
    </w:rPr>
  </w:style>
  <w:style w:type="character" w:styleId="FollowedHyperlink">
    <w:name w:val="FollowedHyperlink"/>
    <w:basedOn w:val="DefaultParagraphFont"/>
    <w:uiPriority w:val="99"/>
    <w:semiHidden/>
    <w:unhideWhenUsed/>
    <w:rsid w:val="00393A7B"/>
    <w:rPr>
      <w:color w:val="800080" w:themeColor="followedHyperlink"/>
      <w:u w:val="single"/>
    </w:rPr>
  </w:style>
  <w:style w:type="paragraph" w:styleId="Footer">
    <w:name w:val="footer"/>
    <w:basedOn w:val="Normal"/>
    <w:link w:val="FooterChar"/>
    <w:uiPriority w:val="99"/>
    <w:semiHidden/>
    <w:unhideWhenUsed/>
    <w:rsid w:val="00DC5D3C"/>
    <w:pPr>
      <w:tabs>
        <w:tab w:val="center" w:pos="4320"/>
        <w:tab w:val="right" w:pos="8640"/>
      </w:tabs>
      <w:spacing w:after="0"/>
    </w:pPr>
  </w:style>
  <w:style w:type="character" w:customStyle="1" w:styleId="FooterChar">
    <w:name w:val="Footer Char"/>
    <w:basedOn w:val="DefaultParagraphFont"/>
    <w:link w:val="Footer"/>
    <w:uiPriority w:val="99"/>
    <w:semiHidden/>
    <w:rsid w:val="00DC5D3C"/>
  </w:style>
  <w:style w:type="character" w:styleId="CommentReference">
    <w:name w:val="annotation reference"/>
    <w:basedOn w:val="DefaultParagraphFont"/>
    <w:uiPriority w:val="99"/>
    <w:semiHidden/>
    <w:unhideWhenUsed/>
    <w:rsid w:val="00846AE3"/>
    <w:rPr>
      <w:sz w:val="16"/>
      <w:szCs w:val="16"/>
    </w:rPr>
  </w:style>
  <w:style w:type="paragraph" w:styleId="CommentText">
    <w:name w:val="annotation text"/>
    <w:basedOn w:val="Normal"/>
    <w:link w:val="CommentTextChar"/>
    <w:uiPriority w:val="99"/>
    <w:semiHidden/>
    <w:unhideWhenUsed/>
    <w:rsid w:val="00846AE3"/>
    <w:rPr>
      <w:sz w:val="20"/>
      <w:szCs w:val="20"/>
    </w:rPr>
  </w:style>
  <w:style w:type="character" w:customStyle="1" w:styleId="CommentTextChar">
    <w:name w:val="Comment Text Char"/>
    <w:basedOn w:val="DefaultParagraphFont"/>
    <w:link w:val="CommentText"/>
    <w:uiPriority w:val="99"/>
    <w:semiHidden/>
    <w:rsid w:val="00846AE3"/>
    <w:rPr>
      <w:sz w:val="20"/>
      <w:szCs w:val="20"/>
    </w:rPr>
  </w:style>
  <w:style w:type="paragraph" w:styleId="CommentSubject">
    <w:name w:val="annotation subject"/>
    <w:basedOn w:val="CommentText"/>
    <w:next w:val="CommentText"/>
    <w:link w:val="CommentSubjectChar"/>
    <w:uiPriority w:val="99"/>
    <w:semiHidden/>
    <w:unhideWhenUsed/>
    <w:rsid w:val="00846AE3"/>
    <w:rPr>
      <w:b/>
      <w:bCs/>
    </w:rPr>
  </w:style>
  <w:style w:type="character" w:customStyle="1" w:styleId="CommentSubjectChar">
    <w:name w:val="Comment Subject Char"/>
    <w:basedOn w:val="CommentTextChar"/>
    <w:link w:val="CommentSubject"/>
    <w:uiPriority w:val="99"/>
    <w:semiHidden/>
    <w:rsid w:val="00846AE3"/>
    <w:rPr>
      <w:b/>
      <w:bCs/>
    </w:rPr>
  </w:style>
  <w:style w:type="paragraph" w:styleId="BalloonText">
    <w:name w:val="Balloon Text"/>
    <w:basedOn w:val="Normal"/>
    <w:link w:val="BalloonTextChar"/>
    <w:uiPriority w:val="99"/>
    <w:semiHidden/>
    <w:unhideWhenUsed/>
    <w:rsid w:val="00846A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A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consultgerirn.org/topics/frailty_and_its_implications_for_care_new/want_to_know_mo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findarticles.com/p/articles/mi_m0FDN/is_3_12/ai_n27421818/pg_5/?tag=content;co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1054</Words>
  <Characters>6013</Characters>
  <Application>Microsoft Office Word</Application>
  <DocSecurity>4</DocSecurity>
  <Lines>50</Lines>
  <Paragraphs>14</Paragraphs>
  <ScaleCrop>false</ScaleCrop>
  <Company>university of iowa</Company>
  <LinksUpToDate>false</LinksUpToDate>
  <CharactersWithSpaces>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Ashlee Farrell</dc:creator>
  <cp:lastModifiedBy>Mary</cp:lastModifiedBy>
  <cp:revision>2</cp:revision>
  <dcterms:created xsi:type="dcterms:W3CDTF">2012-02-27T04:15:00Z</dcterms:created>
  <dcterms:modified xsi:type="dcterms:W3CDTF">2012-02-27T04:15:00Z</dcterms:modified>
</cp:coreProperties>
</file>