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8B" w:rsidRDefault="00A5798B" w:rsidP="00A5798B">
      <w:pPr>
        <w:pStyle w:val="APA"/>
      </w:pPr>
    </w:p>
    <w:p w:rsidR="009334FF" w:rsidRDefault="009334FF" w:rsidP="00A5798B">
      <w:pPr>
        <w:pStyle w:val="APA"/>
        <w:rPr>
          <w:color w:val="FF0000"/>
        </w:rPr>
      </w:pPr>
    </w:p>
    <w:p w:rsidR="009334FF" w:rsidRDefault="009334FF" w:rsidP="00A5798B">
      <w:pPr>
        <w:pStyle w:val="APA"/>
        <w:rPr>
          <w:color w:val="FF0000"/>
        </w:rPr>
      </w:pPr>
    </w:p>
    <w:p w:rsidR="00A5798B" w:rsidRPr="009334FF" w:rsidRDefault="009334FF" w:rsidP="00A5798B">
      <w:pPr>
        <w:pStyle w:val="APA"/>
        <w:rPr>
          <w:color w:val="FF0000"/>
        </w:rPr>
      </w:pPr>
      <w:r>
        <w:rPr>
          <w:color w:val="FF0000"/>
        </w:rPr>
        <w:t>A</w:t>
      </w:r>
      <w:r w:rsidRPr="009334FF">
        <w:rPr>
          <w:color w:val="FF0000"/>
        </w:rPr>
        <w:t>LMOST PERFECT SEE COMMENTS 14.75/15</w:t>
      </w:r>
    </w:p>
    <w:p w:rsidR="00A5798B" w:rsidRDefault="00A5798B" w:rsidP="00A5798B">
      <w:pPr>
        <w:pStyle w:val="APA"/>
      </w:pPr>
    </w:p>
    <w:p w:rsidR="00A5798B" w:rsidRPr="009334FF" w:rsidRDefault="009334FF" w:rsidP="00A5798B">
      <w:pPr>
        <w:pStyle w:val="APA"/>
        <w:rPr>
          <w:color w:val="FF0000"/>
        </w:rPr>
      </w:pPr>
      <w:r w:rsidRPr="009334FF">
        <w:rPr>
          <w:color w:val="FF0000"/>
        </w:rPr>
        <w:t xml:space="preserve">You do not have to do the indented paragraphs in body of the paper is you don’t want to. </w:t>
      </w:r>
    </w:p>
    <w:p w:rsidR="00A5798B" w:rsidRDefault="00A5798B" w:rsidP="00A5798B">
      <w:pPr>
        <w:pStyle w:val="APA"/>
      </w:pPr>
    </w:p>
    <w:p w:rsidR="00A5798B" w:rsidRDefault="00A5798B" w:rsidP="00A5798B">
      <w:pPr>
        <w:pStyle w:val="APAHeadingCenter"/>
      </w:pPr>
      <w:bookmarkStart w:id="0" w:name="bmTitlePageTitle"/>
      <w:r>
        <w:t>Case Study 5</w:t>
      </w:r>
      <w:bookmarkEnd w:id="0"/>
    </w:p>
    <w:p w:rsidR="00A5798B" w:rsidRDefault="00A5798B" w:rsidP="00A5798B">
      <w:pPr>
        <w:pStyle w:val="APAHeadingCenter"/>
      </w:pPr>
      <w:bookmarkStart w:id="1" w:name="bmTitlePageName"/>
      <w:r>
        <w:t>Ashley Adams</w:t>
      </w:r>
      <w:bookmarkEnd w:id="1"/>
    </w:p>
    <w:p w:rsidR="00A5798B" w:rsidRDefault="00A5798B" w:rsidP="00A5798B">
      <w:pPr>
        <w:pStyle w:val="APAHeadingCenter"/>
      </w:pPr>
      <w:bookmarkStart w:id="2" w:name="bmTitlePageInst"/>
      <w:r>
        <w:t>Lakeview College of Nursing</w:t>
      </w:r>
      <w:bookmarkEnd w:id="2"/>
    </w:p>
    <w:p w:rsidR="00A5798B" w:rsidRDefault="00A5798B" w:rsidP="00337A13">
      <w:pPr>
        <w:pStyle w:val="APAHeadingCenter"/>
        <w:ind w:left="3600" w:firstLine="720"/>
        <w:jc w:val="left"/>
      </w:pPr>
      <w:bookmarkStart w:id="3" w:name="bmTitleAdd1"/>
      <w:bookmarkStart w:id="4" w:name="bmTitleAdd2"/>
      <w:bookmarkEnd w:id="3"/>
      <w:r>
        <w:t>N309</w:t>
      </w:r>
      <w:bookmarkEnd w:id="4"/>
    </w:p>
    <w:p w:rsidR="00A5798B" w:rsidRDefault="00A5798B" w:rsidP="00A5798B">
      <w:pPr>
        <w:pStyle w:val="APAHeadingCenter"/>
      </w:pPr>
      <w:bookmarkStart w:id="5" w:name="bmTitleAdd3"/>
      <w:bookmarkEnd w:id="5"/>
    </w:p>
    <w:p w:rsidR="00A5798B" w:rsidRDefault="00A5798B" w:rsidP="00A5798B">
      <w:pPr>
        <w:pStyle w:val="APAHeadingCenter"/>
      </w:pPr>
      <w:bookmarkStart w:id="6" w:name="bmTitleAdd4"/>
      <w:bookmarkEnd w:id="6"/>
    </w:p>
    <w:p w:rsidR="00A5798B" w:rsidRDefault="00A5798B" w:rsidP="00A5798B">
      <w:pPr>
        <w:pStyle w:val="APA"/>
        <w:sectPr w:rsidR="00A5798B" w:rsidSect="00A579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A5798B" w:rsidRDefault="00A5798B" w:rsidP="00A5798B">
      <w:pPr>
        <w:pStyle w:val="APA"/>
        <w:sectPr w:rsidR="00A5798B" w:rsidSect="00A5798B">
          <w:headerReference w:type="first" r:id="rId12"/>
          <w:type w:val="continuous"/>
          <w:pgSz w:w="12240" w:h="15840" w:code="1"/>
          <w:pgMar w:top="1440" w:right="1440" w:bottom="1440" w:left="1440" w:header="720" w:footer="720" w:gutter="0"/>
          <w:cols w:space="720"/>
          <w:titlePg/>
          <w:docGrid w:linePitch="360"/>
        </w:sectPr>
      </w:pPr>
    </w:p>
    <w:p w:rsidR="00A5798B" w:rsidRDefault="00A5798B" w:rsidP="00A5798B">
      <w:pPr>
        <w:pStyle w:val="APAHeadingCenter"/>
      </w:pPr>
      <w:bookmarkStart w:id="7" w:name="bmFirstPageTitle"/>
      <w:r>
        <w:lastRenderedPageBreak/>
        <w:t>Case Study 5</w:t>
      </w:r>
      <w:bookmarkEnd w:id="7"/>
    </w:p>
    <w:p w:rsidR="00E6284C" w:rsidRDefault="00EC7858" w:rsidP="00A5798B">
      <w:pPr>
        <w:pStyle w:val="APA"/>
        <w:rPr>
          <w:b/>
        </w:rPr>
      </w:pPr>
      <w:proofErr w:type="gramStart"/>
      <w:r w:rsidRPr="00811C5C">
        <w:rPr>
          <w:b/>
        </w:rPr>
        <w:t>1. Compare and contrast the definitions for frailty, disability, and co-morbidity.</w:t>
      </w:r>
      <w:proofErr w:type="gramEnd"/>
      <w:r w:rsidRPr="00811C5C">
        <w:rPr>
          <w:b/>
        </w:rPr>
        <w:t xml:space="preserve"> </w:t>
      </w:r>
    </w:p>
    <w:p w:rsidR="00562C7D" w:rsidRPr="006C79F1" w:rsidRDefault="00751D88" w:rsidP="00A5798B">
      <w:pPr>
        <w:pStyle w:val="APA"/>
      </w:pPr>
      <w:r>
        <w:tab/>
        <w:t xml:space="preserve">The 3 terms interrelate.  “Frailty is the manifestation of changes in the physiological state of a person and the inability to maintain </w:t>
      </w:r>
      <w:commentRangeStart w:id="8"/>
      <w:r>
        <w:t>homeostasis</w:t>
      </w:r>
      <w:commentRangeEnd w:id="8"/>
      <w:r w:rsidR="009334FF">
        <w:rPr>
          <w:rStyle w:val="CommentReference"/>
        </w:rPr>
        <w:commentReference w:id="8"/>
      </w:r>
      <w:r>
        <w:t>”</w:t>
      </w:r>
      <w:bookmarkStart w:id="9" w:name="C409517718402778I0T409518078472222"/>
      <w:r w:rsidR="006C79F1">
        <w:t>(</w:t>
      </w:r>
      <w:proofErr w:type="spellStart"/>
      <w:r w:rsidR="006C79F1">
        <w:t>Benefield</w:t>
      </w:r>
      <w:proofErr w:type="spellEnd"/>
      <w:r w:rsidR="006C79F1">
        <w:t xml:space="preserve"> &amp; </w:t>
      </w:r>
      <w:proofErr w:type="spellStart"/>
      <w:r w:rsidR="006C79F1">
        <w:t>Higbee</w:t>
      </w:r>
      <w:proofErr w:type="spellEnd"/>
      <w:r w:rsidR="006C79F1">
        <w:t>, 2007, p. 1)</w:t>
      </w:r>
      <w:bookmarkEnd w:id="9"/>
      <w:r w:rsidR="006C79F1">
        <w:t>.</w:t>
      </w:r>
    </w:p>
    <w:p w:rsidR="00751D88" w:rsidRPr="006C79F1" w:rsidRDefault="00751D88" w:rsidP="00A5798B">
      <w:pPr>
        <w:pStyle w:val="APA"/>
      </w:pPr>
      <w:r>
        <w:tab/>
      </w:r>
      <w:proofErr w:type="gramStart"/>
      <w:r>
        <w:t>“ Co</w:t>
      </w:r>
      <w:proofErr w:type="gramEnd"/>
      <w:r>
        <w:t>-morbidity refers to the occurrence of two or more distinguishably different disease process in a person”</w:t>
      </w:r>
      <w:bookmarkStart w:id="10" w:name="C409517718402778I0T409518092361111"/>
      <w:r w:rsidR="009334FF">
        <w:t xml:space="preserve"> </w:t>
      </w:r>
      <w:r w:rsidR="006C79F1">
        <w:t>(</w:t>
      </w:r>
      <w:proofErr w:type="spellStart"/>
      <w:r w:rsidR="006C79F1">
        <w:t>Benefield</w:t>
      </w:r>
      <w:proofErr w:type="spellEnd"/>
      <w:r w:rsidR="006C79F1">
        <w:t xml:space="preserve"> &amp; </w:t>
      </w:r>
      <w:proofErr w:type="spellStart"/>
      <w:r w:rsidR="006C79F1">
        <w:t>Higbee</w:t>
      </w:r>
      <w:proofErr w:type="spellEnd"/>
      <w:r w:rsidR="006C79F1">
        <w:t>, 2007, p. 1)</w:t>
      </w:r>
      <w:bookmarkEnd w:id="10"/>
      <w:r w:rsidR="006C79F1">
        <w:t>.</w:t>
      </w:r>
    </w:p>
    <w:p w:rsidR="00751D88" w:rsidRPr="006C79F1" w:rsidRDefault="00751D88" w:rsidP="00A5798B">
      <w:pPr>
        <w:pStyle w:val="APA"/>
      </w:pPr>
      <w:r>
        <w:tab/>
        <w:t>“Disability relates to the inability to carry out activities of daily living</w:t>
      </w:r>
      <w:proofErr w:type="gramStart"/>
      <w:r>
        <w:t>”</w:t>
      </w:r>
      <w:bookmarkStart w:id="11" w:name="C409517718402778I0T409518094560185"/>
      <w:r w:rsidR="006C79F1">
        <w:t>(</w:t>
      </w:r>
      <w:proofErr w:type="spellStart"/>
      <w:proofErr w:type="gramEnd"/>
      <w:r w:rsidR="006C79F1">
        <w:t>Benefield</w:t>
      </w:r>
      <w:proofErr w:type="spellEnd"/>
      <w:r w:rsidR="006C79F1">
        <w:t xml:space="preserve"> &amp; </w:t>
      </w:r>
      <w:proofErr w:type="spellStart"/>
      <w:r w:rsidR="006C79F1">
        <w:t>Higbee</w:t>
      </w:r>
      <w:proofErr w:type="spellEnd"/>
      <w:r w:rsidR="006C79F1">
        <w:t>, 2007, p. 1)</w:t>
      </w:r>
      <w:bookmarkEnd w:id="11"/>
      <w:r w:rsidR="006C79F1">
        <w:t xml:space="preserve">. </w:t>
      </w:r>
    </w:p>
    <w:p w:rsidR="00F630EE" w:rsidRDefault="00751D88" w:rsidP="00A5798B">
      <w:pPr>
        <w:pStyle w:val="APA"/>
      </w:pPr>
      <w:r>
        <w:t>The3 terms compare in the sense that most elderly patients have two or more disease processes (co-morbidity), and the disease process causes a decline in the body’s ability</w:t>
      </w:r>
    </w:p>
    <w:p w:rsidR="00751D88" w:rsidRDefault="00751D88" w:rsidP="00F630EE">
      <w:pPr>
        <w:pStyle w:val="APA"/>
        <w:ind w:firstLine="0"/>
      </w:pPr>
      <w:r>
        <w:t xml:space="preserve"> </w:t>
      </w:r>
      <w:proofErr w:type="gramStart"/>
      <w:r>
        <w:t>to</w:t>
      </w:r>
      <w:proofErr w:type="gramEnd"/>
      <w:r>
        <w:t xml:space="preserve"> return to baseline or “restore homeostasis” (frailty), which in return creates hardships for the patient and hinders or disables their ability to perform normal tasks. </w:t>
      </w:r>
    </w:p>
    <w:p w:rsidR="00F630EE" w:rsidRPr="00562C7D" w:rsidRDefault="00F630EE" w:rsidP="00F630EE">
      <w:pPr>
        <w:pStyle w:val="APA"/>
        <w:ind w:firstLine="0"/>
      </w:pPr>
      <w:r>
        <w:tab/>
        <w:t xml:space="preserve">They differ in the fact that co-morbidity and frailty are indications of multisystem dysfunction, and disability can be from many systems or just one. </w:t>
      </w:r>
    </w:p>
    <w:p w:rsidR="00EC7858" w:rsidRDefault="00EC7858" w:rsidP="00A5798B">
      <w:pPr>
        <w:pStyle w:val="APA"/>
        <w:rPr>
          <w:b/>
        </w:rPr>
      </w:pPr>
      <w:r w:rsidRPr="00811C5C">
        <w:rPr>
          <w:b/>
        </w:rPr>
        <w:t xml:space="preserve">2. Explain why frailty is considered a syndrome. </w:t>
      </w:r>
    </w:p>
    <w:p w:rsidR="00F630EE" w:rsidRPr="00D822D9" w:rsidRDefault="00F630EE" w:rsidP="00F630EE">
      <w:pPr>
        <w:pStyle w:val="APA"/>
      </w:pPr>
      <w:r>
        <w:rPr>
          <w:b/>
        </w:rPr>
        <w:tab/>
      </w:r>
      <w:r>
        <w:t>Syndrome- “A set of signs and symptoms that tend to occur together and which reflect the presence of a particular disease or an increased chance of developing a particular disease”</w:t>
      </w:r>
      <w:bookmarkStart w:id="12" w:name="C409517380902778I0T409517940740741"/>
      <w:r w:rsidR="009334FF">
        <w:t xml:space="preserve"> </w:t>
      </w:r>
      <w:r w:rsidR="00D822D9">
        <w:t>(</w:t>
      </w:r>
      <w:r w:rsidR="00D822D9" w:rsidRPr="009334FF">
        <w:rPr>
          <w:color w:val="FF0000"/>
        </w:rPr>
        <w:t>Med</w:t>
      </w:r>
      <w:r w:rsidR="009334FF" w:rsidRPr="009334FF">
        <w:rPr>
          <w:color w:val="FF0000"/>
        </w:rPr>
        <w:t>term.com</w:t>
      </w:r>
      <w:r w:rsidR="00D822D9">
        <w:t>, 2011, p. 1)</w:t>
      </w:r>
      <w:bookmarkEnd w:id="12"/>
    </w:p>
    <w:p w:rsidR="00F630EE" w:rsidRPr="00F630EE" w:rsidRDefault="00F630EE" w:rsidP="00F630EE">
      <w:pPr>
        <w:pStyle w:val="APA"/>
      </w:pPr>
      <w:r>
        <w:tab/>
        <w:t xml:space="preserve">This is why frailty is considered a syndrome because it has a reduced </w:t>
      </w:r>
      <w:r w:rsidR="003029E7">
        <w:t xml:space="preserve">ability to regain physiological homeostasis, it is associated with reduced functional reserve, and impairment in multiple physiological systems.  It is also identified by declines in activity, slow or unsteady gait, fatigue, muscle weakness, malaise, and weight loss.  </w:t>
      </w:r>
    </w:p>
    <w:p w:rsidR="00EC7858" w:rsidRDefault="00EC7858" w:rsidP="00A5798B">
      <w:pPr>
        <w:pStyle w:val="APA"/>
        <w:rPr>
          <w:b/>
        </w:rPr>
      </w:pPr>
      <w:r w:rsidRPr="00811C5C">
        <w:rPr>
          <w:b/>
        </w:rPr>
        <w:lastRenderedPageBreak/>
        <w:t xml:space="preserve">3. View the frailty assessment tool and determine Mrs. Gibson’s actual score. </w:t>
      </w:r>
    </w:p>
    <w:p w:rsidR="007F5055" w:rsidRDefault="007F5055" w:rsidP="00A5798B">
      <w:pPr>
        <w:pStyle w:val="APA"/>
      </w:pPr>
      <w:r>
        <w:rPr>
          <w:b/>
        </w:rPr>
        <w:tab/>
      </w:r>
      <w:r>
        <w:t xml:space="preserve">Mrs. Gibson’s </w:t>
      </w:r>
      <w:r w:rsidR="00CF39CE">
        <w:t xml:space="preserve">score is a 3.  She has a presence of 3 or more of the identifiable components. </w:t>
      </w:r>
    </w:p>
    <w:p w:rsidR="00CF39CE" w:rsidRDefault="00CF39CE" w:rsidP="00A5798B">
      <w:pPr>
        <w:pStyle w:val="APA"/>
      </w:pPr>
      <w:r>
        <w:tab/>
        <w:t xml:space="preserve">1. Unintentional weight loss of 10lbs or more in the past year. </w:t>
      </w:r>
    </w:p>
    <w:p w:rsidR="00CF39CE" w:rsidRDefault="00CF39CE" w:rsidP="00A5798B">
      <w:pPr>
        <w:pStyle w:val="APA"/>
      </w:pPr>
      <w:r>
        <w:tab/>
        <w:t>2. Loss of physical robustness, and skeletal muscle soundness</w:t>
      </w:r>
    </w:p>
    <w:p w:rsidR="00D822D9" w:rsidRDefault="00CF39CE" w:rsidP="00D822D9">
      <w:pPr>
        <w:pStyle w:val="APA"/>
      </w:pPr>
      <w:r>
        <w:tab/>
        <w:t xml:space="preserve">3. Low physical activity: inactive or sedentary </w:t>
      </w:r>
      <w:r w:rsidR="00D822D9">
        <w:t xml:space="preserve"> </w:t>
      </w:r>
    </w:p>
    <w:p w:rsidR="00D822D9" w:rsidRPr="00D822D9" w:rsidRDefault="00D822D9" w:rsidP="00D822D9">
      <w:pPr>
        <w:pStyle w:val="APA"/>
        <w:jc w:val="right"/>
      </w:pPr>
      <w:r>
        <w:tab/>
      </w:r>
      <w:r>
        <w:tab/>
      </w:r>
      <w:r>
        <w:tab/>
      </w:r>
      <w:r>
        <w:tab/>
      </w:r>
      <w:r>
        <w:tab/>
      </w:r>
      <w:bookmarkStart w:id="13" w:name="C409517718402778I0T409517955787037"/>
      <w:r>
        <w:t>(</w:t>
      </w:r>
      <w:proofErr w:type="spellStart"/>
      <w:r>
        <w:t>Benefield</w:t>
      </w:r>
      <w:proofErr w:type="spellEnd"/>
      <w:r>
        <w:t xml:space="preserve"> &amp; </w:t>
      </w:r>
      <w:proofErr w:type="spellStart"/>
      <w:r>
        <w:t>Higbee</w:t>
      </w:r>
      <w:proofErr w:type="spellEnd"/>
      <w:r>
        <w:t>, 2007)</w:t>
      </w:r>
      <w:bookmarkEnd w:id="13"/>
    </w:p>
    <w:p w:rsidR="00EC7858" w:rsidRDefault="00EC7858" w:rsidP="00A5798B">
      <w:pPr>
        <w:pStyle w:val="APA"/>
        <w:rPr>
          <w:b/>
        </w:rPr>
      </w:pPr>
      <w:r w:rsidRPr="00811C5C">
        <w:rPr>
          <w:b/>
        </w:rPr>
        <w:t xml:space="preserve">4. Differentiate primary versus secondary </w:t>
      </w:r>
      <w:r w:rsidR="00811C5C" w:rsidRPr="00811C5C">
        <w:rPr>
          <w:b/>
        </w:rPr>
        <w:t>frailty</w:t>
      </w:r>
      <w:r w:rsidRPr="00811C5C">
        <w:rPr>
          <w:b/>
        </w:rPr>
        <w:t>.</w:t>
      </w:r>
    </w:p>
    <w:p w:rsidR="00E6198E" w:rsidRPr="000A6399" w:rsidRDefault="00E6198E" w:rsidP="00A5798B">
      <w:pPr>
        <w:pStyle w:val="APA"/>
      </w:pPr>
      <w:r>
        <w:rPr>
          <w:b/>
        </w:rPr>
        <w:tab/>
      </w:r>
      <w:r>
        <w:t>Primary frailty “</w:t>
      </w:r>
      <w:proofErr w:type="gramStart"/>
      <w:r>
        <w:t>has no underlying pathological causative factors</w:t>
      </w:r>
      <w:proofErr w:type="gramEnd"/>
      <w:r>
        <w:t>”</w:t>
      </w:r>
      <w:r w:rsidR="000A6399">
        <w:t xml:space="preserve"> </w:t>
      </w:r>
      <w:bookmarkStart w:id="14" w:name="C409517718402778I0T409518101851852"/>
      <w:r w:rsidR="000A6399">
        <w:t>(</w:t>
      </w:r>
      <w:proofErr w:type="spellStart"/>
      <w:r w:rsidR="000A6399">
        <w:t>Benefield</w:t>
      </w:r>
      <w:proofErr w:type="spellEnd"/>
      <w:r w:rsidR="000A6399">
        <w:t xml:space="preserve"> &amp; </w:t>
      </w:r>
      <w:proofErr w:type="spellStart"/>
      <w:r w:rsidR="000A6399">
        <w:t>Higbee</w:t>
      </w:r>
      <w:proofErr w:type="spellEnd"/>
      <w:r w:rsidR="000A6399">
        <w:t>, 2007, p. 1)</w:t>
      </w:r>
      <w:bookmarkEnd w:id="14"/>
      <w:r w:rsidR="000A6399">
        <w:t>.</w:t>
      </w:r>
    </w:p>
    <w:p w:rsidR="00E6198E" w:rsidRPr="000A6399" w:rsidRDefault="00E6198E" w:rsidP="00A5798B">
      <w:pPr>
        <w:pStyle w:val="APA"/>
      </w:pPr>
      <w:r>
        <w:tab/>
        <w:t>Secondary frailty “originates from underlying, pathological causative factors</w:t>
      </w:r>
      <w:proofErr w:type="gramStart"/>
      <w:r>
        <w:t>”</w:t>
      </w:r>
      <w:bookmarkStart w:id="15" w:name="C409517718402778I0T409518103703704"/>
      <w:r w:rsidR="000A6399">
        <w:t>(</w:t>
      </w:r>
      <w:proofErr w:type="spellStart"/>
      <w:proofErr w:type="gramEnd"/>
      <w:r w:rsidR="000A6399">
        <w:t>Benefield</w:t>
      </w:r>
      <w:proofErr w:type="spellEnd"/>
      <w:r w:rsidR="000A6399">
        <w:t xml:space="preserve"> &amp; </w:t>
      </w:r>
      <w:proofErr w:type="spellStart"/>
      <w:r w:rsidR="000A6399">
        <w:t>Higbee</w:t>
      </w:r>
      <w:proofErr w:type="spellEnd"/>
      <w:r w:rsidR="000A6399">
        <w:t>, 2007, p. 1)</w:t>
      </w:r>
      <w:bookmarkEnd w:id="15"/>
      <w:r w:rsidR="000A6399">
        <w:t xml:space="preserve">. </w:t>
      </w:r>
    </w:p>
    <w:p w:rsidR="00E6198E" w:rsidRPr="00E6198E" w:rsidRDefault="00E6198E" w:rsidP="00A5798B">
      <w:pPr>
        <w:pStyle w:val="APA"/>
      </w:pPr>
      <w:r>
        <w:t xml:space="preserve">I agree with the conclusion of primary frailty.  Based on the information given it seems as though Mrs. Gibson is depressed because of her husband’s passing, which has no pathological cause however I would </w:t>
      </w:r>
      <w:r w:rsidR="005C7620">
        <w:t xml:space="preserve">be interested to see her history to see if she has a history of depression.  Also the insertion of the g-tube could cause further depression (altered body image), leading to possible secondary frailty. </w:t>
      </w:r>
    </w:p>
    <w:p w:rsidR="00EC7858" w:rsidRDefault="00811C5C" w:rsidP="00A5798B">
      <w:pPr>
        <w:pStyle w:val="APA"/>
        <w:rPr>
          <w:b/>
        </w:rPr>
      </w:pPr>
      <w:r w:rsidRPr="00811C5C">
        <w:rPr>
          <w:b/>
        </w:rPr>
        <w:t>5. What criteria comprise the six physiologic-based risk factors for frailty?</w:t>
      </w:r>
    </w:p>
    <w:p w:rsidR="005C7620" w:rsidRDefault="005C7620" w:rsidP="00A5798B">
      <w:pPr>
        <w:pStyle w:val="APA"/>
      </w:pPr>
      <w:r>
        <w:rPr>
          <w:b/>
        </w:rPr>
        <w:tab/>
      </w:r>
      <w:r>
        <w:t>The 6 criteria for physiologic-based frailty are:</w:t>
      </w:r>
    </w:p>
    <w:p w:rsidR="005C7620" w:rsidRDefault="005C7620" w:rsidP="00A5798B">
      <w:pPr>
        <w:pStyle w:val="APA"/>
      </w:pPr>
      <w:r>
        <w:tab/>
        <w:t>1. Active inflammation</w:t>
      </w:r>
    </w:p>
    <w:p w:rsidR="005C7620" w:rsidRDefault="005C7620" w:rsidP="00A5798B">
      <w:pPr>
        <w:pStyle w:val="APA"/>
      </w:pPr>
      <w:r>
        <w:tab/>
        <w:t>2. Age</w:t>
      </w:r>
    </w:p>
    <w:p w:rsidR="005C7620" w:rsidRDefault="005C7620" w:rsidP="00A5798B">
      <w:pPr>
        <w:pStyle w:val="APA"/>
      </w:pPr>
      <w:r>
        <w:tab/>
        <w:t>3. Anemia</w:t>
      </w:r>
    </w:p>
    <w:p w:rsidR="005C7620" w:rsidRDefault="005C7620" w:rsidP="00A5798B">
      <w:pPr>
        <w:pStyle w:val="APA"/>
      </w:pPr>
      <w:r>
        <w:tab/>
        <w:t>4. Endocrine system alteration</w:t>
      </w:r>
    </w:p>
    <w:p w:rsidR="005C7620" w:rsidRDefault="005C7620" w:rsidP="00A5798B">
      <w:pPr>
        <w:pStyle w:val="APA"/>
      </w:pPr>
      <w:r>
        <w:lastRenderedPageBreak/>
        <w:tab/>
        <w:t>5. Immune system dysfunction</w:t>
      </w:r>
    </w:p>
    <w:p w:rsidR="005C7620" w:rsidRDefault="005C7620" w:rsidP="00A5798B">
      <w:pPr>
        <w:pStyle w:val="APA"/>
      </w:pPr>
      <w:r>
        <w:tab/>
        <w:t>6. Underweight or overweight</w:t>
      </w:r>
    </w:p>
    <w:p w:rsidR="002836A1" w:rsidRPr="002836A1" w:rsidRDefault="002836A1" w:rsidP="002836A1">
      <w:pPr>
        <w:pStyle w:val="APA"/>
        <w:jc w:val="right"/>
      </w:pPr>
      <w:r>
        <w:tab/>
      </w:r>
      <w:bookmarkStart w:id="16" w:name="C409517296064815I0T409517960763889"/>
      <w:r>
        <w:t>(Espinoza &amp; Fried, 2007)</w:t>
      </w:r>
      <w:bookmarkEnd w:id="16"/>
    </w:p>
    <w:p w:rsidR="00811C5C" w:rsidRDefault="00811C5C" w:rsidP="00A5798B">
      <w:pPr>
        <w:pStyle w:val="APA"/>
        <w:rPr>
          <w:b/>
        </w:rPr>
      </w:pPr>
      <w:r w:rsidRPr="00811C5C">
        <w:rPr>
          <w:b/>
        </w:rPr>
        <w:t xml:space="preserve">6. Discuss the </w:t>
      </w:r>
      <w:proofErr w:type="spellStart"/>
      <w:r w:rsidRPr="00811C5C">
        <w:rPr>
          <w:b/>
        </w:rPr>
        <w:t>sociodemographic</w:t>
      </w:r>
      <w:proofErr w:type="spellEnd"/>
      <w:r w:rsidRPr="00811C5C">
        <w:rPr>
          <w:b/>
        </w:rPr>
        <w:t xml:space="preserve"> and psychological risk factors presented in the article.</w:t>
      </w:r>
    </w:p>
    <w:p w:rsidR="00491340" w:rsidRDefault="00491340" w:rsidP="00491340">
      <w:pPr>
        <w:pStyle w:val="APA"/>
      </w:pPr>
      <w:r>
        <w:rPr>
          <w:b/>
        </w:rPr>
        <w:tab/>
      </w:r>
      <w:r>
        <w:t>The risk factors are:</w:t>
      </w:r>
    </w:p>
    <w:p w:rsidR="00491340" w:rsidRDefault="00491340" w:rsidP="00491340">
      <w:pPr>
        <w:pStyle w:val="APA"/>
      </w:pPr>
      <w:r>
        <w:tab/>
      </w:r>
      <w:r>
        <w:tab/>
        <w:t>1. Female gender</w:t>
      </w:r>
    </w:p>
    <w:p w:rsidR="00491340" w:rsidRDefault="00491340" w:rsidP="00491340">
      <w:pPr>
        <w:pStyle w:val="APA"/>
      </w:pPr>
      <w:r>
        <w:tab/>
      </w:r>
      <w:r>
        <w:tab/>
        <w:t>2. Low socioeconomic status</w:t>
      </w:r>
    </w:p>
    <w:p w:rsidR="00491340" w:rsidRDefault="00491340" w:rsidP="00491340">
      <w:pPr>
        <w:pStyle w:val="APA"/>
      </w:pPr>
      <w:r>
        <w:tab/>
      </w:r>
      <w:r>
        <w:tab/>
        <w:t>3. Race/ethnicity</w:t>
      </w:r>
    </w:p>
    <w:p w:rsidR="00491340" w:rsidRDefault="00491340" w:rsidP="00491340">
      <w:pPr>
        <w:pStyle w:val="APA"/>
      </w:pPr>
      <w:r>
        <w:tab/>
      </w:r>
      <w:r>
        <w:tab/>
        <w:t>4. Depression</w:t>
      </w:r>
    </w:p>
    <w:p w:rsidR="000A6399" w:rsidRPr="000A6399" w:rsidRDefault="000A6399" w:rsidP="000A6399">
      <w:pPr>
        <w:pStyle w:val="APA"/>
        <w:jc w:val="right"/>
      </w:pPr>
      <w:bookmarkStart w:id="17" w:name="C409517296064815I0T409518109837963"/>
      <w:r>
        <w:t>(Espinoza &amp; Fried, 2007)</w:t>
      </w:r>
      <w:bookmarkEnd w:id="17"/>
    </w:p>
    <w:p w:rsidR="00491340" w:rsidRDefault="00491340" w:rsidP="00491340">
      <w:pPr>
        <w:pStyle w:val="APA"/>
      </w:pPr>
      <w:r>
        <w:t xml:space="preserve">Female gender may be higher because of </w:t>
      </w:r>
      <w:proofErr w:type="spellStart"/>
      <w:r>
        <w:t>Sarcopenia</w:t>
      </w:r>
      <w:proofErr w:type="spellEnd"/>
      <w:r>
        <w:t>, with women having less muscle mass than age-matched men</w:t>
      </w:r>
      <w:r w:rsidR="000A6399">
        <w:t xml:space="preserve"> </w:t>
      </w:r>
      <w:bookmarkStart w:id="18" w:name="C409517296064815I0T409518112500000"/>
      <w:r w:rsidR="000A6399">
        <w:t>(Espinoza &amp; Fried, 2007)</w:t>
      </w:r>
      <w:bookmarkEnd w:id="18"/>
      <w:r>
        <w:t xml:space="preserve">.  This causes an intrinsic risk. </w:t>
      </w:r>
    </w:p>
    <w:p w:rsidR="00FB732C" w:rsidRPr="00491340" w:rsidRDefault="00FB732C" w:rsidP="00491340">
      <w:pPr>
        <w:pStyle w:val="APA"/>
      </w:pPr>
      <w:r>
        <w:t>Low socioeconomic status coincides with low education and/or low annual income.  Higher education and higher income are associated with disease free survival at 3-6 years</w:t>
      </w:r>
      <w:r w:rsidR="000A6399">
        <w:t xml:space="preserve"> </w:t>
      </w:r>
      <w:bookmarkStart w:id="19" w:name="C409517296064815I0T409518116087963"/>
      <w:r w:rsidR="000A6399">
        <w:t>(Espinoza &amp; Fried, 2007)</w:t>
      </w:r>
      <w:bookmarkEnd w:id="19"/>
      <w:r>
        <w:t>.  Not intrinsically conferred but because of the different lifestyles associated with each, but with low income they are more likely to participate in actions such as; more likely to be overweight, smoke, do drugs/alcohol.</w:t>
      </w:r>
      <w:r w:rsidR="00D326E5">
        <w:t xml:space="preserve"> There is a strong prospective relationship between depressive symptoms and onset of frailty</w:t>
      </w:r>
      <w:r w:rsidR="000A6399">
        <w:t xml:space="preserve"> </w:t>
      </w:r>
      <w:bookmarkStart w:id="20" w:name="C409517296064815I0T409518118171296"/>
      <w:r w:rsidR="000A6399">
        <w:t>(Espinoza &amp; Fried, 2007)</w:t>
      </w:r>
      <w:bookmarkEnd w:id="20"/>
      <w:r w:rsidR="00D326E5">
        <w:t xml:space="preserve">.  People with depression lose weight and become less active. </w:t>
      </w:r>
    </w:p>
    <w:p w:rsidR="00811C5C" w:rsidRDefault="00811C5C" w:rsidP="00A5798B">
      <w:pPr>
        <w:pStyle w:val="APA"/>
        <w:rPr>
          <w:b/>
        </w:rPr>
      </w:pPr>
      <w:r w:rsidRPr="00811C5C">
        <w:rPr>
          <w:b/>
        </w:rPr>
        <w:t>7. Which of the risk factors reviewed for frailty would not be modifiable?</w:t>
      </w:r>
    </w:p>
    <w:p w:rsidR="002404E9" w:rsidRDefault="002404E9" w:rsidP="00A5798B">
      <w:pPr>
        <w:pStyle w:val="APA"/>
      </w:pPr>
      <w:r>
        <w:rPr>
          <w:b/>
        </w:rPr>
        <w:tab/>
      </w:r>
      <w:r>
        <w:t xml:space="preserve">Age, gender, and ethnicity </w:t>
      </w:r>
    </w:p>
    <w:p w:rsidR="00E522D0" w:rsidRPr="002404E9" w:rsidRDefault="00E522D0" w:rsidP="00E522D0">
      <w:pPr>
        <w:pStyle w:val="APA"/>
        <w:tabs>
          <w:tab w:val="left" w:pos="7395"/>
        </w:tabs>
      </w:pPr>
    </w:p>
    <w:p w:rsidR="00811C5C" w:rsidRPr="00811C5C" w:rsidRDefault="00811C5C" w:rsidP="00A5798B">
      <w:pPr>
        <w:pStyle w:val="APA"/>
        <w:rPr>
          <w:b/>
        </w:rPr>
      </w:pPr>
      <w:r w:rsidRPr="00811C5C">
        <w:rPr>
          <w:b/>
        </w:rPr>
        <w:lastRenderedPageBreak/>
        <w:t>8. Nutritional supplements as an alternative medicine intervention for frailty includes the following: (select all that apply)</w:t>
      </w:r>
      <w:r>
        <w:rPr>
          <w:b/>
        </w:rPr>
        <w:t xml:space="preserve"> </w:t>
      </w:r>
      <w:r w:rsidRPr="00811C5C">
        <w:rPr>
          <w:b/>
          <w:color w:val="FF0000"/>
        </w:rPr>
        <w:t>Answer</w:t>
      </w:r>
      <w:r>
        <w:rPr>
          <w:b/>
          <w:color w:val="FF0000"/>
        </w:rPr>
        <w:t>s</w:t>
      </w:r>
      <w:r w:rsidRPr="00811C5C">
        <w:rPr>
          <w:b/>
          <w:color w:val="FF0000"/>
        </w:rPr>
        <w:t xml:space="preserve"> in red</w:t>
      </w:r>
      <w:r>
        <w:rPr>
          <w:b/>
        </w:rPr>
        <w:t xml:space="preserve"> </w:t>
      </w:r>
    </w:p>
    <w:p w:rsidR="00811C5C" w:rsidRPr="00811C5C" w:rsidRDefault="00811C5C" w:rsidP="00A5798B">
      <w:pPr>
        <w:pStyle w:val="APA"/>
        <w:rPr>
          <w:b/>
          <w:color w:val="FF0000"/>
        </w:rPr>
      </w:pPr>
      <w:r>
        <w:tab/>
      </w:r>
      <w:r w:rsidRPr="00811C5C">
        <w:rPr>
          <w:b/>
          <w:color w:val="FF0000"/>
        </w:rPr>
        <w:t xml:space="preserve">A. </w:t>
      </w:r>
      <w:proofErr w:type="spellStart"/>
      <w:r w:rsidRPr="00811C5C">
        <w:rPr>
          <w:b/>
          <w:color w:val="FF0000"/>
        </w:rPr>
        <w:t>Carotenoids</w:t>
      </w:r>
      <w:proofErr w:type="spellEnd"/>
    </w:p>
    <w:p w:rsidR="00811C5C" w:rsidRPr="00811C5C" w:rsidRDefault="00811C5C" w:rsidP="00A5798B">
      <w:pPr>
        <w:pStyle w:val="APA"/>
        <w:rPr>
          <w:b/>
          <w:color w:val="FF0000"/>
        </w:rPr>
      </w:pPr>
      <w:r w:rsidRPr="00811C5C">
        <w:rPr>
          <w:b/>
          <w:color w:val="FF0000"/>
        </w:rPr>
        <w:tab/>
        <w:t>B. Vitamin D</w:t>
      </w:r>
    </w:p>
    <w:p w:rsidR="00811C5C" w:rsidRDefault="00811C5C" w:rsidP="00A5798B">
      <w:pPr>
        <w:pStyle w:val="APA"/>
      </w:pPr>
      <w:r>
        <w:tab/>
        <w:t xml:space="preserve">C. </w:t>
      </w:r>
      <w:proofErr w:type="spellStart"/>
      <w:r>
        <w:t>Probiotics</w:t>
      </w:r>
      <w:proofErr w:type="spellEnd"/>
    </w:p>
    <w:p w:rsidR="00811C5C" w:rsidRPr="00811C5C" w:rsidRDefault="00811C5C" w:rsidP="00A5798B">
      <w:pPr>
        <w:pStyle w:val="APA"/>
        <w:rPr>
          <w:b/>
          <w:color w:val="FF0000"/>
        </w:rPr>
      </w:pPr>
      <w:r>
        <w:tab/>
      </w:r>
      <w:r w:rsidRPr="00811C5C">
        <w:rPr>
          <w:b/>
          <w:color w:val="FF0000"/>
        </w:rPr>
        <w:t xml:space="preserve">D. </w:t>
      </w:r>
      <w:proofErr w:type="spellStart"/>
      <w:r w:rsidRPr="00811C5C">
        <w:rPr>
          <w:b/>
          <w:color w:val="FF0000"/>
        </w:rPr>
        <w:t>Creatine</w:t>
      </w:r>
      <w:proofErr w:type="spellEnd"/>
    </w:p>
    <w:p w:rsidR="00811C5C" w:rsidRPr="00811C5C" w:rsidRDefault="00811C5C" w:rsidP="00A5798B">
      <w:pPr>
        <w:pStyle w:val="APA"/>
        <w:rPr>
          <w:b/>
          <w:color w:val="FF0000"/>
        </w:rPr>
      </w:pPr>
      <w:r w:rsidRPr="00811C5C">
        <w:rPr>
          <w:b/>
          <w:color w:val="FF0000"/>
        </w:rPr>
        <w:tab/>
        <w:t xml:space="preserve">E. </w:t>
      </w:r>
      <w:proofErr w:type="spellStart"/>
      <w:proofErr w:type="gramStart"/>
      <w:r w:rsidRPr="00811C5C">
        <w:rPr>
          <w:b/>
          <w:color w:val="FF0000"/>
        </w:rPr>
        <w:t>Dehydroepiandrosterone</w:t>
      </w:r>
      <w:proofErr w:type="spellEnd"/>
      <w:r w:rsidRPr="00811C5C">
        <w:rPr>
          <w:b/>
          <w:color w:val="FF0000"/>
        </w:rPr>
        <w:t xml:space="preserve">  (</w:t>
      </w:r>
      <w:proofErr w:type="gramEnd"/>
      <w:r w:rsidRPr="00811C5C">
        <w:rPr>
          <w:b/>
          <w:color w:val="FF0000"/>
        </w:rPr>
        <w:t>DHEA)</w:t>
      </w:r>
    </w:p>
    <w:p w:rsidR="00811C5C" w:rsidRPr="00811C5C" w:rsidRDefault="00811C5C" w:rsidP="00A5798B">
      <w:pPr>
        <w:pStyle w:val="APA"/>
        <w:rPr>
          <w:b/>
        </w:rPr>
      </w:pPr>
    </w:p>
    <w:p w:rsidR="00811C5C" w:rsidRDefault="00811C5C" w:rsidP="00A5798B">
      <w:pPr>
        <w:pStyle w:val="APA"/>
        <w:rPr>
          <w:b/>
        </w:rPr>
      </w:pPr>
      <w:r w:rsidRPr="00811C5C">
        <w:rPr>
          <w:b/>
        </w:rPr>
        <w:t xml:space="preserve">9. </w:t>
      </w:r>
      <w:proofErr w:type="gramStart"/>
      <w:r w:rsidRPr="00811C5C">
        <w:rPr>
          <w:b/>
        </w:rPr>
        <w:t>Using</w:t>
      </w:r>
      <w:proofErr w:type="gramEnd"/>
      <w:r w:rsidRPr="00811C5C">
        <w:rPr>
          <w:b/>
        </w:rPr>
        <w:t xml:space="preserve"> the same internet source, discuss how Tai Chi may be appropriate intervention.</w:t>
      </w:r>
    </w:p>
    <w:p w:rsidR="00E522D0" w:rsidRPr="00E522D0" w:rsidRDefault="00E522D0" w:rsidP="00A5798B">
      <w:pPr>
        <w:pStyle w:val="APA"/>
      </w:pPr>
      <w:r>
        <w:rPr>
          <w:b/>
        </w:rPr>
        <w:tab/>
      </w:r>
      <w:r>
        <w:t>Tai Chi may be an appropriate intervention because it’s a slow and gentle exercise that improves balance and gait by involving mediation and physical movement</w:t>
      </w:r>
      <w:r w:rsidR="000C4BF5">
        <w:t xml:space="preserve"> </w:t>
      </w:r>
      <w:bookmarkStart w:id="21" w:name="C409517718402778I0T409518210069444"/>
      <w:r w:rsidR="000C4BF5">
        <w:t>(</w:t>
      </w:r>
      <w:proofErr w:type="spellStart"/>
      <w:r w:rsidR="000C4BF5">
        <w:t>Benefield</w:t>
      </w:r>
      <w:proofErr w:type="spellEnd"/>
      <w:r w:rsidR="000C4BF5">
        <w:t xml:space="preserve"> &amp; </w:t>
      </w:r>
      <w:proofErr w:type="spellStart"/>
      <w:r w:rsidR="000C4BF5">
        <w:t>Higbee</w:t>
      </w:r>
      <w:proofErr w:type="spellEnd"/>
      <w:r w:rsidR="000C4BF5">
        <w:t>, 2007)</w:t>
      </w:r>
      <w:bookmarkEnd w:id="21"/>
      <w:r>
        <w:t xml:space="preserve">. </w:t>
      </w:r>
    </w:p>
    <w:p w:rsidR="00811C5C" w:rsidRDefault="00811C5C" w:rsidP="00A5798B">
      <w:pPr>
        <w:pStyle w:val="APA"/>
        <w:rPr>
          <w:b/>
        </w:rPr>
      </w:pPr>
      <w:r w:rsidRPr="00811C5C">
        <w:rPr>
          <w:b/>
        </w:rPr>
        <w:t xml:space="preserve">10. What are specific examples used in facilities/agencies which implement universal design? </w:t>
      </w:r>
    </w:p>
    <w:p w:rsidR="00E522D0" w:rsidRDefault="00E522D0" w:rsidP="00A5798B">
      <w:pPr>
        <w:pStyle w:val="APA"/>
      </w:pPr>
      <w:r>
        <w:rPr>
          <w:b/>
        </w:rPr>
        <w:tab/>
      </w:r>
      <w:r>
        <w:t>1. Environments that reflect universal design sensitive to older adults needs.</w:t>
      </w:r>
    </w:p>
    <w:p w:rsidR="00E522D0" w:rsidRDefault="00E522D0" w:rsidP="00A5798B">
      <w:pPr>
        <w:pStyle w:val="APA"/>
      </w:pPr>
      <w:r>
        <w:tab/>
        <w:t>2. Increase in assessment of frailty in all care settings.</w:t>
      </w:r>
    </w:p>
    <w:p w:rsidR="00E522D0" w:rsidRDefault="00E522D0" w:rsidP="00A5798B">
      <w:pPr>
        <w:pStyle w:val="APA"/>
      </w:pPr>
      <w:r>
        <w:tab/>
        <w:t>3. Prompt and accurate referral for evaluation of frailty</w:t>
      </w:r>
    </w:p>
    <w:p w:rsidR="00E522D0" w:rsidRDefault="00E522D0" w:rsidP="00A5798B">
      <w:pPr>
        <w:pStyle w:val="APA"/>
      </w:pPr>
      <w:r>
        <w:tab/>
        <w:t>4. Decrease in morbidity and mortality rates associated with functional decline.</w:t>
      </w:r>
    </w:p>
    <w:p w:rsidR="000C0CA0" w:rsidRDefault="00E522D0" w:rsidP="000C0CA0">
      <w:pPr>
        <w:pStyle w:val="APA"/>
      </w:pPr>
      <w:r>
        <w:tab/>
        <w:t xml:space="preserve">5. Increase in </w:t>
      </w:r>
      <w:r w:rsidR="00E23A7F">
        <w:t xml:space="preserve">early utilization of </w:t>
      </w:r>
      <w:proofErr w:type="spellStart"/>
      <w:r w:rsidR="00E23A7F">
        <w:t>rehabilative</w:t>
      </w:r>
      <w:proofErr w:type="spellEnd"/>
      <w:r w:rsidR="00E23A7F">
        <w:t xml:space="preserve"> services (occupational and physical therapy). </w:t>
      </w:r>
    </w:p>
    <w:p w:rsidR="000C4BF5" w:rsidRPr="000C4BF5" w:rsidRDefault="000C4BF5" w:rsidP="000C4BF5">
      <w:pPr>
        <w:pStyle w:val="APA"/>
        <w:jc w:val="right"/>
      </w:pPr>
      <w:bookmarkStart w:id="22" w:name="C409517718402778I0T409518213078704"/>
      <w:r>
        <w:t>(</w:t>
      </w:r>
      <w:proofErr w:type="spellStart"/>
      <w:r>
        <w:t>Benefield</w:t>
      </w:r>
      <w:proofErr w:type="spellEnd"/>
      <w:r>
        <w:t xml:space="preserve"> &amp; </w:t>
      </w:r>
      <w:proofErr w:type="spellStart"/>
      <w:r>
        <w:t>Higbee</w:t>
      </w:r>
      <w:proofErr w:type="spellEnd"/>
      <w:r>
        <w:t>, 2007)</w:t>
      </w:r>
      <w:bookmarkEnd w:id="22"/>
    </w:p>
    <w:p w:rsidR="000C0CA0" w:rsidRDefault="000C0CA0" w:rsidP="000C0CA0">
      <w:pPr>
        <w:pStyle w:val="APAHeadingCenter"/>
      </w:pPr>
      <w:r>
        <w:br w:type="page"/>
      </w:r>
      <w:r>
        <w:lastRenderedPageBreak/>
        <w:t>References</w:t>
      </w:r>
    </w:p>
    <w:p w:rsidR="000C0CA0" w:rsidRDefault="000C0CA0" w:rsidP="000C0CA0">
      <w:pPr>
        <w:pStyle w:val="APAReference"/>
      </w:pPr>
      <w:bookmarkStart w:id="23" w:name="R409517718402778I0"/>
      <w:proofErr w:type="spellStart"/>
      <w:proofErr w:type="gramStart"/>
      <w:r>
        <w:t>Benefield</w:t>
      </w:r>
      <w:proofErr w:type="spellEnd"/>
      <w:r>
        <w:t xml:space="preserve">, L. E., &amp; </w:t>
      </w:r>
      <w:proofErr w:type="spellStart"/>
      <w:r>
        <w:t>Higbee</w:t>
      </w:r>
      <w:proofErr w:type="spellEnd"/>
      <w:r>
        <w:t>, R. L. (2007).</w:t>
      </w:r>
      <w:proofErr w:type="gramEnd"/>
      <w:r>
        <w:t xml:space="preserve"> </w:t>
      </w:r>
      <w:proofErr w:type="spellStart"/>
      <w:r>
        <w:t>Fraility</w:t>
      </w:r>
      <w:proofErr w:type="spellEnd"/>
      <w:r>
        <w:t xml:space="preserve"> and its implications for </w:t>
      </w:r>
      <w:proofErr w:type="gramStart"/>
      <w:r>
        <w:t>care .</w:t>
      </w:r>
      <w:proofErr w:type="gramEnd"/>
      <w:r>
        <w:t xml:space="preserve"> Retrieved from http://consultgerirn.org/topics/frailty_and_its_implications_for_care_new/want_to_know_more</w:t>
      </w:r>
      <w:bookmarkEnd w:id="23"/>
    </w:p>
    <w:p w:rsidR="000C0CA0" w:rsidRDefault="009334FF" w:rsidP="000C0CA0">
      <w:pPr>
        <w:pStyle w:val="APAReference"/>
      </w:pPr>
      <w:bookmarkStart w:id="24" w:name="R409517380902778I0"/>
      <w:proofErr w:type="gramStart"/>
      <w:r w:rsidRPr="009334FF">
        <w:rPr>
          <w:color w:val="FF0000"/>
        </w:rPr>
        <w:t>Medterms.com.</w:t>
      </w:r>
      <w:r>
        <w:rPr>
          <w:color w:val="FF0000"/>
        </w:rPr>
        <w:t xml:space="preserve"> </w:t>
      </w:r>
      <w:r w:rsidRPr="009334FF">
        <w:rPr>
          <w:color w:val="FF0000"/>
        </w:rPr>
        <w:t>(2011).</w:t>
      </w:r>
      <w:proofErr w:type="gramEnd"/>
      <w:r>
        <w:rPr>
          <w:color w:val="FF0000"/>
        </w:rPr>
        <w:t xml:space="preserve"> </w:t>
      </w:r>
      <w:proofErr w:type="gramStart"/>
      <w:r w:rsidR="000C0CA0" w:rsidRPr="009334FF">
        <w:rPr>
          <w:i/>
          <w:color w:val="FF0000"/>
        </w:rPr>
        <w:t>Definition of syndrome</w:t>
      </w:r>
      <w:r w:rsidR="000C0CA0" w:rsidRPr="009334FF">
        <w:rPr>
          <w:color w:val="FF0000"/>
        </w:rPr>
        <w:t>.</w:t>
      </w:r>
      <w:proofErr w:type="gramEnd"/>
      <w:r w:rsidR="000C0CA0" w:rsidRPr="009334FF">
        <w:rPr>
          <w:color w:val="FF0000"/>
        </w:rPr>
        <w:t xml:space="preserve"> </w:t>
      </w:r>
      <w:r w:rsidR="000C0CA0">
        <w:t>Retrieved from http://www.medterms.com/script/main/art.asp?articlekey=5613</w:t>
      </w:r>
      <w:bookmarkEnd w:id="24"/>
    </w:p>
    <w:p w:rsidR="000C0CA0" w:rsidRPr="000C0CA0" w:rsidRDefault="000C0CA0" w:rsidP="000C0CA0">
      <w:pPr>
        <w:pStyle w:val="APAReference"/>
      </w:pPr>
      <w:bookmarkStart w:id="25" w:name="R409517296064815I0"/>
      <w:proofErr w:type="gramStart"/>
      <w:r>
        <w:t>Espinoza, S. E., &amp; Fried, L. P. (2007, June).</w:t>
      </w:r>
      <w:proofErr w:type="gramEnd"/>
      <w:r>
        <w:t xml:space="preserve"> Risk factors for frailty in the older </w:t>
      </w:r>
      <w:proofErr w:type="gramStart"/>
      <w:r>
        <w:t>adult  [</w:t>
      </w:r>
      <w:proofErr w:type="gramEnd"/>
      <w:r>
        <w:t xml:space="preserve">]. </w:t>
      </w:r>
      <w:r>
        <w:rPr>
          <w:i/>
        </w:rPr>
        <w:t xml:space="preserve">Clinical </w:t>
      </w:r>
      <w:proofErr w:type="gramStart"/>
      <w:r>
        <w:rPr>
          <w:i/>
        </w:rPr>
        <w:t xml:space="preserve">Geriatrics </w:t>
      </w:r>
      <w:r>
        <w:t>,</w:t>
      </w:r>
      <w:proofErr w:type="gramEnd"/>
      <w:r>
        <w:t xml:space="preserve"> </w:t>
      </w:r>
      <w:r>
        <w:rPr>
          <w:i/>
        </w:rPr>
        <w:t>15</w:t>
      </w:r>
      <w:r>
        <w:t>(6), 37-44. Retrieved from http://www.imsersomayores.csic.es/documentos/boletin/2007/numero-52/art-07-07-01.pdf</w:t>
      </w:r>
      <w:bookmarkEnd w:id="25"/>
    </w:p>
    <w:sectPr w:rsidR="000C0CA0" w:rsidRPr="000C0CA0" w:rsidSect="00A5798B">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3-01T06:51:00Z" w:initials="M">
    <w:p w:rsidR="009334FF" w:rsidRDefault="009334FF">
      <w:pPr>
        <w:pStyle w:val="CommentText"/>
      </w:pPr>
      <w:r>
        <w:rPr>
          <w:rStyle w:val="CommentReference"/>
        </w:rPr>
        <w:annotationRef/>
      </w:r>
      <w:r>
        <w:t>Leave a space between the quote mark and the bracket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766" w:rsidRDefault="00D35766">
      <w:r>
        <w:separator/>
      </w:r>
    </w:p>
  </w:endnote>
  <w:endnote w:type="continuationSeparator" w:id="0">
    <w:p w:rsidR="00D35766" w:rsidRDefault="00D35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766" w:rsidRDefault="00D35766">
      <w:r>
        <w:separator/>
      </w:r>
    </w:p>
  </w:footnote>
  <w:footnote w:type="continuationSeparator" w:id="0">
    <w:p w:rsidR="00D35766" w:rsidRDefault="00D35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A5798B" w:rsidRDefault="00A5798B" w:rsidP="00A5798B">
    <w:pPr>
      <w:pStyle w:val="APAPageHeading"/>
    </w:pPr>
    <w:r>
      <w:t>CASE STUDY 5</w:t>
    </w:r>
    <w:r>
      <w:tab/>
    </w:r>
    <w:fldSimple w:instr=" PAGE  \* MERGEFORMAT ">
      <w:r w:rsidR="009334FF">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A5798B" w:rsidRDefault="00A5798B" w:rsidP="00A5798B">
    <w:pPr>
      <w:pStyle w:val="APAPageHeading"/>
    </w:pPr>
    <w:r>
      <w:t>Running head: CASE STUDY 5</w:t>
    </w:r>
    <w:r>
      <w:tab/>
    </w:r>
    <w:fldSimple w:instr=" PAGE  \* MERGEFORMAT ">
      <w:r w:rsidR="009334FF">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98B" w:rsidRPr="00A5798B" w:rsidRDefault="00A5798B" w:rsidP="00A5798B">
    <w:pPr>
      <w:pStyle w:val="APAPageHeading"/>
    </w:pPr>
    <w:r>
      <w:t>CASE STUDY 5</w:t>
    </w:r>
    <w:r>
      <w:tab/>
    </w:r>
    <w:fldSimple w:instr=" PAGE  \* MERGEFORMAT ">
      <w:r w:rsidR="009334FF">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9517296064815I0" w:val="*1,76˜11Sara~E~Espinoza~Linda~P~Fried~˜12032007˜2331˜1241June˜178Risk factors for frailty in the older adult ˜1454˜16Clinical Geriatrics ˜2681˜18615˜2281˜1816˜2711˜116337-44˜21751˜2690˜1196˜1141http://www.imsersomayores.csic.es/documentos/boletin/2007/numero-52/art-07-07-01.pdf˜"/>
    <w:docVar w:name="409517380902778I0" w:val="*1,610˜13Definition of syndrome˜1234MedNet˜12032011˜2701˜1112˜112http://www.medterms.com/script/main/art.asp?articlekey=5613˜"/>
    <w:docVar w:name="409517718402778I0" w:val="*1,262˜11Lazelle~E~Benefield~Rachel~L~Higbee~˜12032007˜13Fraility and its implications for care ˜2700˜1112February 11, 2012   ˜112http://consultgerirn.org/topics/frailty_and_its_implications_for_care_new/want_to_know_more˜"/>
    <w:docVar w:name="bmHeaderInfo" w:val="CASE STUDY 5"/>
    <w:docVar w:name="cIsAbstract" w:val="False"/>
    <w:docVar w:name="cPaperAPAOrMLA" w:val="1"/>
    <w:docVar w:name="cUniquePaperID" w:val="409507362037037I0"/>
    <w:docVar w:name="LastEditedVersion" w:val="5"/>
  </w:docVars>
  <w:rsids>
    <w:rsidRoot w:val="00EC7858"/>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6399"/>
    <w:rsid w:val="000A7474"/>
    <w:rsid w:val="000A7C2C"/>
    <w:rsid w:val="000B0007"/>
    <w:rsid w:val="000B15DC"/>
    <w:rsid w:val="000B170D"/>
    <w:rsid w:val="000B18A9"/>
    <w:rsid w:val="000B25A0"/>
    <w:rsid w:val="000B4365"/>
    <w:rsid w:val="000B772C"/>
    <w:rsid w:val="000C03BF"/>
    <w:rsid w:val="000C0CA0"/>
    <w:rsid w:val="000C11DE"/>
    <w:rsid w:val="000C1FC5"/>
    <w:rsid w:val="000C4BF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2E97"/>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4E9"/>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36A1"/>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29E7"/>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37A13"/>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27E2C"/>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340"/>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11D8"/>
    <w:rsid w:val="004E40E7"/>
    <w:rsid w:val="004E4238"/>
    <w:rsid w:val="004E43BF"/>
    <w:rsid w:val="004E6F70"/>
    <w:rsid w:val="004F0978"/>
    <w:rsid w:val="004F1D60"/>
    <w:rsid w:val="004F4A78"/>
    <w:rsid w:val="004F4E44"/>
    <w:rsid w:val="004F55B9"/>
    <w:rsid w:val="004F5F21"/>
    <w:rsid w:val="00500F5C"/>
    <w:rsid w:val="00500FE5"/>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7D"/>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C7620"/>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9F1"/>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1D88"/>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40A5"/>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72FB"/>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055"/>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1C5C"/>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3545"/>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4FF"/>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0D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5798B"/>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39CE"/>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6E5"/>
    <w:rsid w:val="00D32D49"/>
    <w:rsid w:val="00D32FFC"/>
    <w:rsid w:val="00D33471"/>
    <w:rsid w:val="00D3359A"/>
    <w:rsid w:val="00D343D6"/>
    <w:rsid w:val="00D34FA9"/>
    <w:rsid w:val="00D35766"/>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22D9"/>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3A7F"/>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22D0"/>
    <w:rsid w:val="00E530D4"/>
    <w:rsid w:val="00E56D5A"/>
    <w:rsid w:val="00E57244"/>
    <w:rsid w:val="00E6198E"/>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C7858"/>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2A0D"/>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0EE"/>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32C"/>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1D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11D8"/>
    <w:pPr>
      <w:tabs>
        <w:tab w:val="center" w:pos="4320"/>
        <w:tab w:val="right" w:pos="8640"/>
      </w:tabs>
    </w:pPr>
  </w:style>
  <w:style w:type="paragraph" w:customStyle="1" w:styleId="APA">
    <w:name w:val="APA"/>
    <w:basedOn w:val="BodyText"/>
    <w:rsid w:val="004E11D8"/>
    <w:pPr>
      <w:spacing w:after="0" w:line="480" w:lineRule="auto"/>
      <w:ind w:firstLine="720"/>
    </w:pPr>
    <w:rPr>
      <w:sz w:val="24"/>
    </w:rPr>
  </w:style>
  <w:style w:type="paragraph" w:styleId="BodyText">
    <w:name w:val="Body Text"/>
    <w:basedOn w:val="Normal"/>
    <w:rsid w:val="004E11D8"/>
    <w:pPr>
      <w:spacing w:after="120"/>
    </w:pPr>
  </w:style>
  <w:style w:type="paragraph" w:styleId="Footer">
    <w:name w:val="footer"/>
    <w:basedOn w:val="Normal"/>
    <w:rsid w:val="004E11D8"/>
    <w:pPr>
      <w:tabs>
        <w:tab w:val="center" w:pos="4320"/>
        <w:tab w:val="right" w:pos="8640"/>
      </w:tabs>
    </w:pPr>
  </w:style>
  <w:style w:type="character" w:styleId="PageNumber">
    <w:name w:val="page number"/>
    <w:basedOn w:val="DefaultParagraphFont"/>
    <w:rsid w:val="004E11D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4E11D8"/>
    <w:pPr>
      <w:ind w:left="720" w:firstLine="0"/>
    </w:pPr>
  </w:style>
  <w:style w:type="paragraph" w:customStyle="1" w:styleId="APABlockQuoteSubsequentPara">
    <w:name w:val="APA Block Quote Subsequent Para"/>
    <w:basedOn w:val="APA"/>
    <w:next w:val="APA"/>
    <w:rsid w:val="004E11D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E11D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E11D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9334FF"/>
    <w:rPr>
      <w:sz w:val="16"/>
      <w:szCs w:val="16"/>
    </w:rPr>
  </w:style>
  <w:style w:type="paragraph" w:styleId="CommentText">
    <w:name w:val="annotation text"/>
    <w:basedOn w:val="Normal"/>
    <w:link w:val="CommentTextChar"/>
    <w:rsid w:val="009334FF"/>
  </w:style>
  <w:style w:type="character" w:customStyle="1" w:styleId="CommentTextChar">
    <w:name w:val="Comment Text Char"/>
    <w:basedOn w:val="DefaultParagraphFont"/>
    <w:link w:val="CommentText"/>
    <w:rsid w:val="009334FF"/>
  </w:style>
  <w:style w:type="paragraph" w:styleId="CommentSubject">
    <w:name w:val="annotation subject"/>
    <w:basedOn w:val="CommentText"/>
    <w:next w:val="CommentText"/>
    <w:link w:val="CommentSubjectChar"/>
    <w:rsid w:val="009334FF"/>
    <w:rPr>
      <w:b/>
      <w:bCs/>
    </w:rPr>
  </w:style>
  <w:style w:type="character" w:customStyle="1" w:styleId="CommentSubjectChar">
    <w:name w:val="Comment Subject Char"/>
    <w:basedOn w:val="CommentTextChar"/>
    <w:link w:val="CommentSubject"/>
    <w:rsid w:val="009334FF"/>
    <w:rPr>
      <w:b/>
      <w:bCs/>
    </w:rPr>
  </w:style>
  <w:style w:type="paragraph" w:styleId="BalloonText">
    <w:name w:val="Balloon Text"/>
    <w:basedOn w:val="Normal"/>
    <w:link w:val="BalloonTextChar"/>
    <w:rsid w:val="009334FF"/>
    <w:rPr>
      <w:rFonts w:ascii="Tahoma" w:hAnsi="Tahoma" w:cs="Tahoma"/>
      <w:sz w:val="16"/>
      <w:szCs w:val="16"/>
    </w:rPr>
  </w:style>
  <w:style w:type="character" w:customStyle="1" w:styleId="BalloonTextChar">
    <w:name w:val="Balloon Text Char"/>
    <w:basedOn w:val="DefaultParagraphFont"/>
    <w:link w:val="BalloonText"/>
    <w:rsid w:val="009334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10</TotalTime>
  <Pages>6</Pages>
  <Words>871</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Ash</dc:creator>
  <cp:lastModifiedBy>Mary</cp:lastModifiedBy>
  <cp:revision>2</cp:revision>
  <dcterms:created xsi:type="dcterms:W3CDTF">2012-03-01T12:53:00Z</dcterms:created>
  <dcterms:modified xsi:type="dcterms:W3CDTF">2012-03-01T12:53:00Z</dcterms:modified>
</cp:coreProperties>
</file>