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Times New Roman" w:cs="Times New Roman" w:eastAsia="Times New Roman" w:hAnsi="Times New Roman"/>
          <w:b w:val="0"/>
          <w:sz w:val="24"/>
          <w:szCs w:val="24"/>
        </w:rPr>
      </w:pPr>
      <w:bookmarkStart w:colFirst="0" w:colLast="0" w:name="_gjdgxs" w:id="0"/>
      <w:bookmarkEnd w:id="0"/>
      <w:r w:rsidDel="00000000" w:rsidR="00000000" w:rsidRPr="00000000">
        <w:rPr>
          <w:rFonts w:ascii="Times New Roman" w:cs="Times New Roman" w:eastAsia="Times New Roman" w:hAnsi="Times New Roman"/>
          <w:b w:val="0"/>
          <w:sz w:val="24"/>
          <w:szCs w:val="24"/>
          <w:rtl w:val="0"/>
        </w:rPr>
        <w:t xml:space="preserve">Debriefing Guide</w:t>
      </w:r>
    </w:p>
    <w:p w:rsidR="00000000" w:rsidDel="00000000" w:rsidP="00000000" w:rsidRDefault="00000000" w:rsidRPr="00000000" w14:paraId="00000002">
      <w:pPr>
        <w:pStyle w:val="Heading1"/>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Pediatric Case 1: Brittany Long (Core) </w:t>
      </w:r>
    </w:p>
    <w:p w:rsidR="00000000" w:rsidDel="00000000" w:rsidP="00000000" w:rsidRDefault="00000000" w:rsidRPr="00000000" w14:paraId="00000003">
      <w:pPr>
        <w:pStyle w:val="Heading3"/>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Opening Questions</w:t>
      </w:r>
    </w:p>
    <w:p w:rsidR="00000000" w:rsidDel="00000000" w:rsidP="00000000" w:rsidRDefault="00000000" w:rsidRPr="00000000" w14:paraId="0000000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How did the simulated experience of Brittany Long’s case make you feel?</w:t>
      </w:r>
    </w:p>
    <w:p w:rsidR="00000000" w:rsidDel="00000000" w:rsidP="00000000" w:rsidRDefault="00000000" w:rsidRPr="00000000" w14:paraId="00000005">
      <w:pPr>
        <w:spacing w:after="0" w:line="240" w:lineRule="auto"/>
        <w:ind w:left="720"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This nursing student felt as if this assignment widened one’s knowledge of patient care for the moment the nurse entered the room. In the beginning, I was nervous as always, but as I further examined that patient and their needs before providing interventions. The full assessment and inquiry of patient history and feedback from the mother helped prioritize care for this patient that was sickle cell anemic. The series of questions implement care for the patient accordingly. Following the steps and apply interventions based on lab results level of pain eased this process. Overall, this experience was great to review and practice.</w:t>
      </w:r>
    </w:p>
    <w:p w:rsidR="00000000" w:rsidDel="00000000" w:rsidP="00000000" w:rsidRDefault="00000000" w:rsidRPr="00000000" w14:paraId="00000006">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numPr>
          <w:ilvl w:val="0"/>
          <w:numId w:val="2"/>
        </w:numPr>
        <w:ind w:left="720" w:hanging="360"/>
        <w:rPr>
          <w:rFonts w:ascii="Times New Roman" w:cs="Times New Roman" w:eastAsia="Times New Roman" w:hAnsi="Times New Roman"/>
          <w:sz w:val="24"/>
          <w:szCs w:val="24"/>
        </w:rPr>
      </w:pPr>
      <w:bookmarkStart w:colFirst="0" w:colLast="0" w:name="_30j0zll" w:id="1"/>
      <w:bookmarkEnd w:id="1"/>
      <w:r w:rsidDel="00000000" w:rsidR="00000000" w:rsidRPr="00000000">
        <w:rPr>
          <w:rFonts w:ascii="Times New Roman" w:cs="Times New Roman" w:eastAsia="Times New Roman" w:hAnsi="Times New Roman"/>
          <w:sz w:val="24"/>
          <w:szCs w:val="24"/>
          <w:rtl w:val="0"/>
        </w:rPr>
        <w:t xml:space="preserve">Describe the actions you felt went well in this scenario.</w:t>
      </w:r>
    </w:p>
    <w:p w:rsidR="00000000" w:rsidDel="00000000" w:rsidP="00000000" w:rsidRDefault="00000000" w:rsidRPr="00000000" w14:paraId="00000008">
      <w:pPr>
        <w:shd w:fill="ffffff" w:val="clear"/>
        <w:spacing w:after="0" w:line="218.43744" w:lineRule="auto"/>
        <w:rPr>
          <w:rFonts w:ascii="Times New Roman" w:cs="Times New Roman" w:eastAsia="Times New Roman" w:hAnsi="Times New Roman"/>
          <w:sz w:val="24"/>
          <w:szCs w:val="24"/>
        </w:rPr>
      </w:pPr>
      <w:bookmarkStart w:colFirst="0" w:colLast="0" w:name="_herfm5eozvk4" w:id="2"/>
      <w:bookmarkEnd w:id="2"/>
      <w:r w:rsidDel="00000000" w:rsidR="00000000" w:rsidRPr="00000000">
        <w:rPr>
          <w:rFonts w:ascii="Times New Roman" w:cs="Times New Roman" w:eastAsia="Times New Roman" w:hAnsi="Times New Roman"/>
          <w:sz w:val="24"/>
          <w:szCs w:val="24"/>
          <w:rtl w:val="0"/>
        </w:rPr>
        <w:t xml:space="preserve">As a student nurse felt like the nursing interventions were age-appropriate for Brittany. Beginning with the introduction and concern for patient safety and obtaining consent from the mother as well as identifying the patient. I noticed a rapid respiratory issue with breathing and attached a pulse oximeter. The physical assessment went well, noticing the color of skin tenting and abnormal finding through labs. I felt like her pain</w:t>
      </w:r>
    </w:p>
    <w:p w:rsidR="00000000" w:rsidDel="00000000" w:rsidP="00000000" w:rsidRDefault="00000000" w:rsidRPr="00000000" w14:paraId="00000009">
      <w:pPr>
        <w:shd w:fill="ffffff" w:val="clear"/>
        <w:spacing w:after="0" w:line="218.43744" w:lineRule="auto"/>
        <w:rPr>
          <w:rFonts w:ascii="Times New Roman" w:cs="Times New Roman" w:eastAsia="Times New Roman" w:hAnsi="Times New Roman"/>
          <w:sz w:val="24"/>
          <w:szCs w:val="24"/>
        </w:rPr>
      </w:pPr>
      <w:bookmarkStart w:colFirst="0" w:colLast="0" w:name="_g7zp2v3f5o90" w:id="3"/>
      <w:bookmarkEnd w:id="3"/>
      <w:r w:rsidDel="00000000" w:rsidR="00000000" w:rsidRPr="00000000">
        <w:rPr>
          <w:rFonts w:ascii="Times New Roman" w:cs="Times New Roman" w:eastAsia="Times New Roman" w:hAnsi="Times New Roman"/>
          <w:sz w:val="24"/>
          <w:szCs w:val="24"/>
          <w:rtl w:val="0"/>
        </w:rPr>
        <w:t xml:space="preserve">management went well due to her pain level began at a 3/5, and after the intervention, it was a zero. Other actions were the application of oxygen therapy for Brittnay and continuous heart monitoring. The most crucial factor of the performance was able to assist the patient with medication.</w:t>
      </w:r>
    </w:p>
    <w:p w:rsidR="00000000" w:rsidDel="00000000" w:rsidP="00000000" w:rsidRDefault="00000000" w:rsidRPr="00000000" w14:paraId="0000000A">
      <w:pPr>
        <w:shd w:fill="ffffff" w:val="clear"/>
        <w:spacing w:after="0" w:line="218.43744" w:lineRule="auto"/>
        <w:rPr>
          <w:rFonts w:ascii="Times New Roman" w:cs="Times New Roman" w:eastAsia="Times New Roman" w:hAnsi="Times New Roman"/>
          <w:sz w:val="24"/>
          <w:szCs w:val="24"/>
        </w:rPr>
      </w:pPr>
      <w:bookmarkStart w:colFirst="0" w:colLast="0" w:name="_c34fs639fhk7" w:id="4"/>
      <w:bookmarkEnd w:id="4"/>
      <w:r w:rsidDel="00000000" w:rsidR="00000000" w:rsidRPr="00000000">
        <w:rPr>
          <w:rtl w:val="0"/>
        </w:rPr>
      </w:r>
    </w:p>
    <w:p w:rsidR="00000000" w:rsidDel="00000000" w:rsidP="00000000" w:rsidRDefault="00000000" w:rsidRPr="00000000" w14:paraId="0000000B">
      <w:pPr>
        <w:shd w:fill="ffffff" w:val="clear"/>
        <w:spacing w:after="0" w:line="218.43744" w:lineRule="auto"/>
        <w:rPr>
          <w:rFonts w:ascii="Times New Roman" w:cs="Times New Roman" w:eastAsia="Times New Roman" w:hAnsi="Times New Roman"/>
          <w:sz w:val="24"/>
          <w:szCs w:val="24"/>
        </w:rPr>
      </w:pPr>
      <w:bookmarkStart w:colFirst="0" w:colLast="0" w:name="_bkd0b28y7ent" w:id="5"/>
      <w:bookmarkEnd w:id="5"/>
      <w:r w:rsidDel="00000000" w:rsidR="00000000" w:rsidRPr="00000000">
        <w:rPr>
          <w:rtl w:val="0"/>
        </w:rPr>
      </w:r>
    </w:p>
    <w:p w:rsidR="00000000" w:rsidDel="00000000" w:rsidP="00000000" w:rsidRDefault="00000000" w:rsidRPr="00000000" w14:paraId="0000000C">
      <w:pPr>
        <w:pStyle w:val="Heading3"/>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Scenario Analysis Questions</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What is the relationship between fluid and oxygen therapy in the treatment of sickle cell anemia?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relationship between oxygen and fluid, especially with a patient, there are many factors of benefic results and possibilities to make matters worse. Commonly recommended by supplying oral or intravenous fluids in a mild vaso‐occlusive crisis shortens the episode and relieves pain (Okomo &amp; Meremikwu, 2017). Also, oxygen therapy can be beneficial if the patient's oxygen saturation level is below the threshold.  According to the article by Pierce Oxygen Therapy (2020) it states, "high levels of oxygen can destroy new red blood cells as they form" (p.1). Ultimately this would be a critical aspect when assessing the patients breathing indeed essential to monitor.</w:t>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What complications might Brittany Long face if her symptoms are not recognized and treated in a timely manner?</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72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Many specific complications adhere to her present symptoms. Brittany Long is currently in pain and is sickle cell anemic, and she will have to be monitored equipment. This monetization will include a heart monitor and pulse oximetry. If left on treated, she will face difficulty breathing as we know anemia is low production of blood to the body and causes an increase in cardiac output. Nurses must act if not, and you will begin to see irregular heart be and more alarming heart failure.  Complications can lead to a cognitive change in the patient due to the limited amount of oxygen to the brain and destruction of organs and ability to cause infections (NHLBI, 2019).</w:t>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What methods of pain management did you use and what other methods should be considered for Brittany Long, based on the latest evidence-based practice?</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72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72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Initially, the first step to treatment was to reduce pain for pain is a precursor for elevated blood pressure.  Being that Brittany long is in discomfort, we want to assure trust safety and health. One of the steps in making the patient comfortable one of the items in the room was her toy bear. Another variation for pain is medication. Pain relievers and oral and intravenous fluids reduce pain and prevent complications; the doctor decides to place the order (Mayo Clinic, 2019).  Following these methods will surely reduce the pain level scale, and reassessment of pain will be in progress to see improvements.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What discharge teaching should be provided to assist Brittany Long’s mother with her home care?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Discharge is essentially self-care outside of critical care. The importance of home care and following teaching for patients is to prevent reoccurring visits. The first is teaching is the importance of taking prescribed medication and teaching Mrs. long how to monitor blood pressure and possibly home oxygen therapy or treatment.  Pain management is what promotes people from visiting hospitals due to pain learning coping skills to suppress that pain is excellent. Next would be to teach preventative measures for infections.  For example, giving antibiotics hydration is vital.  Having all this will allow the promotion of health and increase self-esteem for the patient.</w:t>
      </w:r>
    </w:p>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Reflect on ways to improve safety and quality of care based on your experience with Brittany Long’s case.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72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Promoting safety for this patient is have the team all on board with getting labs done and possible blood transfusion since she is sickle cell anemic. She has assistance going to the restroom. The next is finding signs of reactions to medication prescribed by the provider. This will rule out any further interventions need and answer any concerns for her and her mother. As far as quality care for the patient, she was well taken care of, assuring that vitals were monitored and IV of normal saline checked for infiltration.  I believe it all began when walking into the room that nothing was off place or medication, and orders were ready to in case of changes in heart rate or oxygen saturation.</w:t>
      </w:r>
    </w:p>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Identify additional individuals who should be included on Brittany Long’s care team.</w:t>
        <w:tab/>
      </w:r>
    </w:p>
    <w:p w:rsidR="00000000" w:rsidDel="00000000" w:rsidP="00000000" w:rsidRDefault="00000000" w:rsidRPr="00000000" w14:paraId="0000001A">
      <w:pPr>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for Brittany, most acute care, especially in a child, is having a local outpatient clinic for a child. The main is a physician who can provide a new care plan and determine when to discharge patient aftercare plan requirements are successful. The next is a care team that provided education on alternative treatment like that of a bone marrow transplant.  The emotional support team that cheers Brittany up brings excitement and does not have to ponder whether she'll feel better. Lastly and designated home nurse and respiratory therapist to monitor her breathing independently. Also, family and friends.</w:t>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What key elements would you include in the handoff report for this patient? Consider the situation-background-assessment-recommendation (SBAR) format.</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Situation Brittany long is a five-year-old female in sickle cell crisis.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Background came into the Emergency room for pain in the right leg, she was given Tylenol and ibuprofen and had IV</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fluids were running in left antecubital space.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Assessment vitals were within normal limits, pain currently zero out of five after morphine IV given to reduce pain, continuous Pulse Oximetry and O2</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nasal cannula, right lower leg warm to touch.</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Recommendation continue monitoring pain and vital signs and continue providing education about sickle cell anemia disease and what to do in a crisis and prevent.</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Discuss quality-of-care indicators for the management of children with sickle cell disease.</w:t>
      </w:r>
    </w:p>
    <w:p w:rsidR="00000000" w:rsidDel="00000000" w:rsidP="00000000" w:rsidRDefault="00000000" w:rsidRPr="00000000" w14:paraId="0000002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is a large number of morbidities with children who have sickle cell disease and an early mortality rate. Due to the condition, it is essential to practice and educate staff on the quality of care for hospitals and management.  By doing so, the child's health will be healthy enough to play outside with friends and kids her age.  One quality of health is reducing pain, providing oxygen when needed, and detecting illness, and acting fast when applicable. Quality of care offers optimal care for patients that have a crisis like Brittany Long.  Hospitals provide safe and quality cares for all patients.</w:t>
      </w:r>
    </w:p>
    <w:p w:rsidR="00000000" w:rsidDel="00000000" w:rsidP="00000000" w:rsidRDefault="00000000" w:rsidRPr="00000000" w14:paraId="00000026">
      <w:pPr>
        <w:pStyle w:val="Heading3"/>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Concluding Questions</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Reflecting on Brittany Long’s case, were there any actions you would do differently? If so, what were these actions, and why would you do them differently? </w:t>
      </w:r>
    </w:p>
    <w:p w:rsidR="00000000" w:rsidDel="00000000" w:rsidP="00000000" w:rsidRDefault="00000000" w:rsidRPr="00000000" w14:paraId="00000028">
      <w:pPr>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large number of morbidities with children who have sickle cell disease and an early mortality rate. Due to the condition, it is essential to practice and educate staff on the quality of care for hospitals and management.  By doing so, the child's health will be healthy enough to play outside with friends and kids her age.  One quality of health is reducing pain, providing oxygen when needed, and detecting illness, and acting fast when applicable. Quality of care offers optimal care for patients that have a crisis like Brittany Long.  Hospitals provide safe and quality cares for all patients.</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Describe how you would apply the knowledge and skills that you obtained in Brittany Long’s case to an actual patient care situation.</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4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first base of applying education to the patient is teaching the patient, family, friends about procedures needed to complete.  For example, in the simulation, Brittany Long is given a nasal cannula; this was done to provided oxygen related to her anemia as evidence by her oxygen saturation lowering. Secondly, pain management is another essential practice for care. At the beginning of this assessment, Brittany Long pain at a 5/5 the goal and intervention is alleviating the pain.  Which, was obtained by providing morphine via IV drip solution. All the existing skills for this patient signified the level of patient care.</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Refences  </w:t>
      </w:r>
    </w:p>
    <w:p w:rsidR="00000000" w:rsidDel="00000000" w:rsidP="00000000" w:rsidRDefault="00000000" w:rsidRPr="00000000" w14:paraId="0000002C">
      <w:pP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Mayo Clinic. (2019).  Anemia - Diagnosis and treatment.</w:t>
      </w:r>
    </w:p>
    <w:p w:rsidR="00000000" w:rsidDel="00000000" w:rsidP="00000000" w:rsidRDefault="00000000" w:rsidRPr="00000000" w14:paraId="0000002D">
      <w:pP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https://www.mayoclinic.org/diseases-conditions/anemia/diagnosis-treatment/drc-20351366</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Iron-Deficiency Anemia | National Heart, Lung, and Blood Institute (NHLBI). (2019, January 18). </w:t>
      </w:r>
      <w:hyperlink r:id="rId6">
        <w:r w:rsidDel="00000000" w:rsidR="00000000" w:rsidRPr="00000000">
          <w:rPr>
            <w:rFonts w:ascii="Times New Roman" w:cs="Times New Roman" w:eastAsia="Times New Roman" w:hAnsi="Times New Roman"/>
            <w:i w:val="0"/>
            <w:smallCaps w:val="0"/>
            <w:strike w:val="0"/>
            <w:color w:val="0000ff"/>
            <w:sz w:val="24"/>
            <w:szCs w:val="24"/>
            <w:highlight w:val="white"/>
            <w:u w:val="single"/>
            <w:vertAlign w:val="baseline"/>
            <w:rtl w:val="0"/>
          </w:rPr>
          <w:t xml:space="preserve">https://www.nhlbi.nih.gov/health-topics/iron-deficiency-anemia#:%7E:text=You%20may%20need%20to%20address,and%20development%20delays%20in%20children</w:t>
        </w:r>
      </w:hyperlink>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Pierce, J. (2020). </w:t>
      </w:r>
      <w:r w:rsidDel="00000000" w:rsidR="00000000" w:rsidRPr="00000000">
        <w:rPr>
          <w:rFonts w:ascii="Times New Roman" w:cs="Times New Roman" w:eastAsia="Times New Roman" w:hAnsi="Times New Roman"/>
          <w:i w:val="1"/>
          <w:smallCaps w:val="0"/>
          <w:strike w:val="0"/>
          <w:color w:val="000000"/>
          <w:sz w:val="24"/>
          <w:szCs w:val="24"/>
          <w:highlight w:val="white"/>
          <w:u w:val="none"/>
          <w:vertAlign w:val="baseline"/>
          <w:rtl w:val="0"/>
        </w:rPr>
        <w:t xml:space="preserve">Oxygen Therapy</w:t>
      </w: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https://sicklecellanemianews.com/oxygen-therapy/#:%7E:text=How%20does%20oxygen%20therapy%20work,of%20new%20red%20blood%20cells.</w:t>
      </w:r>
    </w:p>
    <w:p w:rsidR="00000000" w:rsidDel="00000000" w:rsidP="00000000" w:rsidRDefault="00000000" w:rsidRPr="00000000" w14:paraId="00000031">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03030"/>
          <w:sz w:val="24"/>
          <w:szCs w:val="24"/>
          <w:highlight w:val="white"/>
          <w:rtl w:val="0"/>
        </w:rPr>
        <w:t xml:space="preserve">Okomo, U., &amp; Meremikwu, M. M. (2017). Fluid replacement therapy for acute episodes of pain in people with sickle cell disease. </w:t>
      </w:r>
      <w:r w:rsidDel="00000000" w:rsidR="00000000" w:rsidRPr="00000000">
        <w:rPr>
          <w:rFonts w:ascii="Times New Roman" w:cs="Times New Roman" w:eastAsia="Times New Roman" w:hAnsi="Times New Roman"/>
          <w:i w:val="1"/>
          <w:color w:val="303030"/>
          <w:sz w:val="24"/>
          <w:szCs w:val="24"/>
          <w:highlight w:val="white"/>
          <w:rtl w:val="0"/>
        </w:rPr>
        <w:t xml:space="preserve">The Cochrane database of systematic reviews</w:t>
      </w:r>
      <w:r w:rsidDel="00000000" w:rsidR="00000000" w:rsidRPr="00000000">
        <w:rPr>
          <w:rFonts w:ascii="Times New Roman" w:cs="Times New Roman" w:eastAsia="Times New Roman" w:hAnsi="Times New Roman"/>
          <w:color w:val="303030"/>
          <w:sz w:val="24"/>
          <w:szCs w:val="24"/>
          <w:highlight w:val="white"/>
          <w:rtl w:val="0"/>
        </w:rPr>
        <w:t xml:space="preserve">, </w:t>
      </w:r>
      <w:r w:rsidDel="00000000" w:rsidR="00000000" w:rsidRPr="00000000">
        <w:rPr>
          <w:rFonts w:ascii="Times New Roman" w:cs="Times New Roman" w:eastAsia="Times New Roman" w:hAnsi="Times New Roman"/>
          <w:i w:val="1"/>
          <w:color w:val="303030"/>
          <w:sz w:val="24"/>
          <w:szCs w:val="24"/>
          <w:highlight w:val="white"/>
          <w:rtl w:val="0"/>
        </w:rPr>
        <w:t xml:space="preserve">7</w:t>
      </w:r>
      <w:r w:rsidDel="00000000" w:rsidR="00000000" w:rsidRPr="00000000">
        <w:rPr>
          <w:rFonts w:ascii="Times New Roman" w:cs="Times New Roman" w:eastAsia="Times New Roman" w:hAnsi="Times New Roman"/>
          <w:color w:val="303030"/>
          <w:sz w:val="24"/>
          <w:szCs w:val="24"/>
          <w:highlight w:val="white"/>
          <w:rtl w:val="0"/>
        </w:rPr>
        <w:t xml:space="preserve">(7), CD005406. https://doi.org/10.1002/14651858.CD005406.pub5</w:t>
      </w:r>
      <w:r w:rsidDel="00000000" w:rsidR="00000000" w:rsidRPr="00000000">
        <w:rPr>
          <w:rtl w:val="0"/>
        </w:rPr>
      </w:r>
    </w:p>
    <w:p w:rsidR="00000000" w:rsidDel="00000000" w:rsidP="00000000" w:rsidRDefault="00000000" w:rsidRPr="00000000" w14:paraId="00000032">
      <w:pPr>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Debriefing Journal Rubric</w:t>
      </w:r>
    </w:p>
    <w:p w:rsidR="00000000" w:rsidDel="00000000" w:rsidP="00000000" w:rsidRDefault="00000000" w:rsidRPr="00000000" w14:paraId="00000040">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Minimum Words: 100 per section</w:t>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2338"/>
        <w:tblGridChange w:id="0">
          <w:tblGrid>
            <w:gridCol w:w="2337"/>
            <w:gridCol w:w="2337"/>
            <w:gridCol w:w="2338"/>
            <w:gridCol w:w="2338"/>
          </w:tblGrid>
        </w:tblGridChange>
      </w:tblGrid>
      <w:tr>
        <w:tc>
          <w:tcPr/>
          <w:p w:rsidR="00000000" w:rsidDel="00000000" w:rsidP="00000000" w:rsidRDefault="00000000" w:rsidRPr="00000000" w14:paraId="000000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CRITERIA</w:t>
            </w:r>
          </w:p>
        </w:tc>
        <w:tc>
          <w:tcPr/>
          <w:p w:rsidR="00000000" w:rsidDel="00000000" w:rsidP="00000000" w:rsidRDefault="00000000" w:rsidRPr="00000000" w14:paraId="000000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w:t>
            </w:r>
          </w:p>
        </w:tc>
        <w:tc>
          <w:tcPr/>
          <w:p w:rsidR="00000000" w:rsidDel="00000000" w:rsidP="00000000" w:rsidRDefault="00000000" w:rsidRPr="00000000" w14:paraId="000000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FAIR</w:t>
            </w:r>
          </w:p>
        </w:tc>
        <w:tc>
          <w:tcPr/>
          <w:p w:rsidR="00000000" w:rsidDel="00000000" w:rsidP="00000000" w:rsidRDefault="00000000" w:rsidRPr="00000000" w14:paraId="000000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w:t>
            </w:r>
          </w:p>
        </w:tc>
      </w:tr>
      <w:tr>
        <w:tc>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-Concise and Complete</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Total Weight-  3 points</w:t>
            </w:r>
          </w:p>
        </w:tc>
        <w:tc>
          <w:tcPr/>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Content is incomplete.</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Major points are not clear and /or persuasive</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Weight-1 point</w:t>
            </w:r>
          </w:p>
        </w:tc>
        <w:tc>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Content is not comprehensive and /or persuasive.</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Major points are addressed, but not well supported.  </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is inadequate or does not address course concepts.</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  2 points</w:t>
            </w:r>
          </w:p>
        </w:tc>
        <w:tc>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Content is comprehensive, accurate, and persuasive.</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Major points are stated clearly and are well supported.</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Content and purpose of the writing are clear.</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Weight- 3 points</w:t>
            </w:r>
          </w:p>
        </w:tc>
      </w:tr>
      <w:tr>
        <w:tc>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Thoughtful Reflection- How will this affect your practice or will it?</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Total Points- 10 points</w:t>
            </w:r>
          </w:p>
        </w:tc>
        <w:tc>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Paper lacks many elements of correct formatting.</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Paragraphs are inadequate or excessive in length.</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-Unspecific as to how simulation meets learning objectives.</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Weight- 1 point </w:t>
            </w:r>
          </w:p>
        </w:tc>
        <w:tc>
          <w:tcPr/>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Paper follows most guidelines.</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Paper is under word length.</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-Lacks some specifics as to how simulation meets learning objectives.</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Weight-5 points</w:t>
            </w:r>
          </w:p>
        </w:tc>
        <w:tc>
          <w:tcPr/>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Paper follows designated guidelines.</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Paper is the appropriate length as described for the assignment.</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-States clearly as to how simulation meets learning objectives.</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Weight-10 points</w:t>
            </w:r>
          </w:p>
        </w:tc>
      </w:tr>
      <w:tr>
        <w:tc>
          <w:tcPr/>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 Format Correct spelling/Grammar.</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references are used, they are in APA Format</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Total Weight- 10 points</w:t>
            </w:r>
          </w:p>
        </w:tc>
        <w:tc>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APA format.</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-Paper contains numerous grammatical, punctuation, and spelling errors.</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Language uses jargon or conversational tone </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APA citation use and Reference page if references used.</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Weight- 1 point</w:t>
            </w:r>
          </w:p>
        </w:tc>
        <w:tc>
          <w:tcPr/>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Inappropriate APA format.</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Paper contains few grammatical, punctuation and spelling errors.</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Language lacks clarity or includes the use of some jargon or conversational tone.</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-Inappropriate APA citation use and Reference page if references used.</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Weight- 5 points</w:t>
            </w:r>
          </w:p>
        </w:tc>
        <w:tc>
          <w:tcPr/>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-Correct APA format. </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-Rules of grammar, usage, and punctuation are followed; spelling is correct.</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Language is clear and precise; sentences display consistently strong, varied structure</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-Correct APA citation and reference page if references used.</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Weight- 10 points</w:t>
            </w:r>
          </w:p>
        </w:tc>
      </w:tr>
      <w:tr>
        <w:tc>
          <w:tcPr/>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Paper submitted to dropbox within 72 hours of the simulation experience.</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Total Weight- 2 points</w:t>
            </w:r>
            <w:r w:rsidDel="00000000" w:rsidR="00000000" w:rsidRPr="00000000">
              <w:rPr>
                <w:rtl w:val="0"/>
              </w:rPr>
            </w:r>
          </w:p>
        </w:tc>
        <w:tc>
          <w:tcPr/>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-Paper submitted to dropbox or discussion board late.</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Weight- 1 point</w:t>
            </w:r>
          </w:p>
        </w:tc>
        <w:tc>
          <w:tcPr/>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-Paper submitted to dropbox on time.</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Weight- 2 points</w:t>
            </w:r>
          </w:p>
        </w:tc>
      </w:tr>
    </w:tbl>
    <w:p w:rsidR="00000000" w:rsidDel="00000000" w:rsidP="00000000" w:rsidRDefault="00000000" w:rsidRPr="00000000" w14:paraId="0000009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Total Points: ____________</w:t>
        <w:tab/>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footerReference r:id="rId9" w:type="default"/>
      <w:footerReference r:id="rId10"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Brittany Long</w:t>
      <w:tab/>
      <w:tab/>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1"/>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nhlbi.nih.gov/health-topics/iron-deficiency-anemia#:%7E:text=You%20may%20need%20to%20address,and%20development%20delays%20in%20children" TargetMode="Externa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