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line="480" w:lineRule="auto" w:before="68"/>
        <w:ind w:left="120" w:right="7820"/>
      </w:pPr>
      <w:bookmarkStart w:name="Jessica Warren Noticing" w:id="1"/>
      <w:bookmarkEnd w:id="1"/>
      <w:r>
        <w:rPr>
          <w:b w:val="0"/>
        </w:rPr>
      </w:r>
      <w:r>
        <w:rPr>
          <w:color w:val="0E101A"/>
        </w:rPr>
        <w:t>Jessica Warren </w:t>
      </w:r>
      <w:r>
        <w:rPr>
          <w:color w:val="0E101A"/>
          <w:u w:val="thick" w:color="0E101A"/>
        </w:rPr>
        <w:t>Noticing</w:t>
      </w:r>
    </w:p>
    <w:p>
      <w:pPr>
        <w:spacing w:before="3"/>
        <w:ind w:left="840" w:right="0" w:firstLine="0"/>
        <w:jc w:val="left"/>
        <w:rPr>
          <w:b/>
          <w:sz w:val="24"/>
        </w:rPr>
      </w:pPr>
      <w:r>
        <w:rPr>
          <w:b/>
          <w:color w:val="0E101A"/>
          <w:sz w:val="24"/>
        </w:rPr>
        <w:t>MSE</w:t>
      </w:r>
    </w:p>
    <w:p>
      <w:pPr>
        <w:pStyle w:val="BodyText"/>
        <w:spacing w:before="11"/>
        <w:rPr>
          <w:b/>
          <w:sz w:val="22"/>
        </w:rPr>
      </w:pPr>
    </w:p>
    <w:p>
      <w:pPr>
        <w:pStyle w:val="BodyText"/>
        <w:spacing w:line="480" w:lineRule="auto"/>
        <w:ind w:left="120" w:right="208"/>
      </w:pPr>
      <w:r>
        <w:rPr>
          <w:color w:val="0E101A"/>
        </w:rPr>
        <w:t>The client I interviewed has depression and suicidal ideations. With this diagnosis, which commonly comes with communication barriers, Sara was cooperative and answered all questions. At first Sara was hesitant to talk but after a while she appeared to be relaxed and was willing to talk with me. She was sent to OSF in Urbana because she was found unresponsive and there were multiple pills noted in the car with her. During our talk Sara did become a little tearful.</w:t>
      </w:r>
    </w:p>
    <w:p>
      <w:pPr>
        <w:pStyle w:val="Heading1"/>
      </w:pPr>
      <w:bookmarkStart w:name="Additional Assessment" w:id="2"/>
      <w:bookmarkEnd w:id="2"/>
      <w:r>
        <w:rPr>
          <w:b w:val="0"/>
        </w:rPr>
      </w:r>
      <w:r>
        <w:rPr>
          <w:color w:val="0E101A"/>
        </w:rPr>
        <w:t>Additional Assessment</w:t>
      </w:r>
    </w:p>
    <w:p>
      <w:pPr>
        <w:pStyle w:val="BodyText"/>
        <w:rPr>
          <w:b/>
          <w:sz w:val="23"/>
        </w:rPr>
      </w:pPr>
    </w:p>
    <w:p>
      <w:pPr>
        <w:pStyle w:val="BodyText"/>
        <w:spacing w:line="480" w:lineRule="auto"/>
        <w:ind w:left="119" w:right="483"/>
      </w:pPr>
      <w:r>
        <w:rPr>
          <w:color w:val="0E101A"/>
        </w:rPr>
        <w:t>The PHQ-9 is the additional assessment I did with Sara. Her score came back as 18 which indicate severe depression. Sara was cooperative and answered all questions. Sara did state she had family support but she thinks that she burnt that bride because they don’t help her anymore. This has led her to have thoughts that she would be better off dead. I asked her if the opportunity presented how that would look for her. Sara state she would just go to sleep and never wake up. Sara was not forth coming about how she would go to sleep and never wake up.</w:t>
      </w:r>
    </w:p>
    <w:p>
      <w:pPr>
        <w:pStyle w:val="Heading1"/>
        <w:ind w:left="120"/>
      </w:pPr>
      <w:bookmarkStart w:name="Interpreting" w:id="3"/>
      <w:bookmarkEnd w:id="3"/>
      <w:r>
        <w:rPr>
          <w:b w:val="0"/>
        </w:rPr>
      </w:r>
      <w:r>
        <w:rPr>
          <w:color w:val="0E101A"/>
          <w:u w:val="thick" w:color="0E101A"/>
        </w:rPr>
        <w:t>Interpreting</w:t>
      </w:r>
    </w:p>
    <w:p>
      <w:pPr>
        <w:pStyle w:val="BodyText"/>
        <w:spacing w:before="2"/>
        <w:rPr>
          <w:b/>
          <w:sz w:val="16"/>
        </w:rPr>
      </w:pPr>
    </w:p>
    <w:p>
      <w:pPr>
        <w:spacing w:before="90"/>
        <w:ind w:left="840" w:right="0" w:firstLine="0"/>
        <w:jc w:val="left"/>
        <w:rPr>
          <w:b/>
          <w:sz w:val="24"/>
        </w:rPr>
      </w:pPr>
      <w:r>
        <w:rPr>
          <w:b/>
          <w:color w:val="0E101A"/>
          <w:sz w:val="24"/>
        </w:rPr>
        <w:t>MSE</w:t>
      </w:r>
    </w:p>
    <w:p>
      <w:pPr>
        <w:pStyle w:val="BodyText"/>
        <w:rPr>
          <w:b/>
          <w:sz w:val="23"/>
        </w:rPr>
      </w:pPr>
    </w:p>
    <w:p>
      <w:pPr>
        <w:pStyle w:val="BodyText"/>
        <w:spacing w:line="480" w:lineRule="auto"/>
        <w:ind w:left="119" w:right="116"/>
      </w:pPr>
      <w:r>
        <w:rPr>
          <w:color w:val="0E101A"/>
        </w:rPr>
        <w:t>What stood out to me about Sara is that she kept to herself the entire time I was there for the clinical experience unless someone went to her to engage in conversation. Sara is a former</w:t>
      </w:r>
      <w:r>
        <w:rPr>
          <w:color w:val="0E101A"/>
          <w:spacing w:val="-23"/>
        </w:rPr>
        <w:t> </w:t>
      </w:r>
      <w:r>
        <w:rPr>
          <w:color w:val="0E101A"/>
        </w:rPr>
        <w:t>LPN that is no longer working. Sara is homeless at this point in time and living in her car. Sara doesn’t like to talk about her personal situation. </w:t>
      </w:r>
      <w:r>
        <w:rPr>
          <w:color w:val="0E101A"/>
          <w:spacing w:val="-3"/>
        </w:rPr>
        <w:t>In </w:t>
      </w:r>
      <w:r>
        <w:rPr>
          <w:color w:val="0E101A"/>
        </w:rPr>
        <w:t>morning group with Jenny, Sara didn’t offer up information to questions that were being asked about handling triggers. Sara would answer when Jenny specifically asked her a question. Sara’s answers were typically a few words</w:t>
      </w:r>
      <w:r>
        <w:rPr>
          <w:color w:val="0E101A"/>
          <w:spacing w:val="-19"/>
        </w:rPr>
        <w:t> </w:t>
      </w:r>
      <w:r>
        <w:rPr>
          <w:color w:val="0E101A"/>
        </w:rPr>
        <w:t>only.</w:t>
      </w:r>
    </w:p>
    <w:p>
      <w:pPr>
        <w:spacing w:after="0" w:line="480" w:lineRule="auto"/>
        <w:sectPr>
          <w:type w:val="continuous"/>
          <w:pgSz w:w="12240" w:h="15840"/>
          <w:pgMar w:top="1500" w:bottom="280" w:left="1320" w:right="1380"/>
        </w:sectPr>
      </w:pPr>
    </w:p>
    <w:p>
      <w:pPr>
        <w:pStyle w:val="Heading1"/>
        <w:spacing w:before="60"/>
      </w:pPr>
      <w:bookmarkStart w:name="Additional Assessment" w:id="4"/>
      <w:bookmarkEnd w:id="4"/>
      <w:r>
        <w:rPr>
          <w:b w:val="0"/>
        </w:rPr>
      </w:r>
      <w:r>
        <w:rPr>
          <w:color w:val="0E101A"/>
        </w:rPr>
        <w:t>Additional Assessment</w:t>
      </w:r>
    </w:p>
    <w:p>
      <w:pPr>
        <w:pStyle w:val="BodyText"/>
        <w:spacing w:before="8"/>
        <w:rPr>
          <w:b/>
          <w:sz w:val="22"/>
        </w:rPr>
      </w:pPr>
    </w:p>
    <w:p>
      <w:pPr>
        <w:pStyle w:val="BodyText"/>
        <w:spacing w:line="480" w:lineRule="auto"/>
        <w:ind w:left="119" w:right="451"/>
      </w:pPr>
      <w:r>
        <w:rPr>
          <w:color w:val="0E101A"/>
        </w:rPr>
        <w:t>The PHQ-9 is the additional assessment I did with Sara. Her score came back as 18 which indicate severe depression. Sara did state she had family support but she thinks that she burnt that bride because they don’t help her anymore. This has led her to have thoughts that she would be better off dead. I asked her if the opportunity presented how that would look for her. Sara state she would just go to sleep and never wake up. Sara was not forth coming about how she would go to sleep and never wake up. Results of this assessment was given to the nurse and the nurse was told about Sara’s comment about going to sleep and never waking</w:t>
      </w:r>
      <w:r>
        <w:rPr>
          <w:color w:val="0E101A"/>
          <w:spacing w:val="-4"/>
        </w:rPr>
        <w:t> </w:t>
      </w:r>
      <w:r>
        <w:rPr>
          <w:color w:val="0E101A"/>
        </w:rPr>
        <w:t>up.</w:t>
      </w:r>
    </w:p>
    <w:p>
      <w:pPr>
        <w:pStyle w:val="Heading1"/>
        <w:spacing w:before="82"/>
        <w:ind w:left="120"/>
      </w:pPr>
      <w:bookmarkStart w:name="Responding" w:id="5"/>
      <w:bookmarkEnd w:id="5"/>
      <w:r>
        <w:rPr>
          <w:b w:val="0"/>
        </w:rPr>
      </w:r>
      <w:r>
        <w:rPr>
          <w:color w:val="0E101A"/>
          <w:u w:val="thick" w:color="0E101A"/>
        </w:rPr>
        <w:t>Responding</w:t>
      </w:r>
    </w:p>
    <w:p>
      <w:pPr>
        <w:pStyle w:val="BodyText"/>
        <w:spacing w:before="2"/>
        <w:rPr>
          <w:b/>
          <w:sz w:val="16"/>
        </w:rPr>
      </w:pPr>
    </w:p>
    <w:p>
      <w:pPr>
        <w:spacing w:before="90"/>
        <w:ind w:left="840" w:right="0" w:firstLine="0"/>
        <w:jc w:val="left"/>
        <w:rPr>
          <w:b/>
          <w:sz w:val="24"/>
        </w:rPr>
      </w:pPr>
      <w:r>
        <w:rPr>
          <w:b/>
          <w:color w:val="0E101A"/>
          <w:sz w:val="24"/>
        </w:rPr>
        <w:t>MSE</w:t>
      </w:r>
    </w:p>
    <w:p>
      <w:pPr>
        <w:pStyle w:val="BodyText"/>
        <w:spacing w:before="2"/>
        <w:rPr>
          <w:b/>
          <w:sz w:val="23"/>
        </w:rPr>
      </w:pPr>
    </w:p>
    <w:p>
      <w:pPr>
        <w:pStyle w:val="BodyText"/>
        <w:spacing w:line="480" w:lineRule="auto"/>
        <w:ind w:left="119" w:right="550"/>
        <w:jc w:val="both"/>
      </w:pPr>
      <w:r>
        <w:rPr>
          <w:color w:val="0E101A"/>
        </w:rPr>
        <w:t>Communication techniques used were Active Listening, Verbal Communication, Nonverbal Communication, compassion, and trust. I think Sara communicated better when it was a 1:1 setting more so then the group setting.</w:t>
      </w:r>
    </w:p>
    <w:p>
      <w:pPr>
        <w:pStyle w:val="Heading1"/>
        <w:jc w:val="both"/>
      </w:pPr>
      <w:bookmarkStart w:name="Additional Assessment" w:id="6"/>
      <w:bookmarkEnd w:id="6"/>
      <w:r>
        <w:rPr>
          <w:b w:val="0"/>
        </w:rPr>
      </w:r>
      <w:r>
        <w:rPr>
          <w:color w:val="0E101A"/>
        </w:rPr>
        <w:t>Additional Assessment</w:t>
      </w:r>
    </w:p>
    <w:p>
      <w:pPr>
        <w:pStyle w:val="BodyText"/>
        <w:rPr>
          <w:b/>
          <w:sz w:val="23"/>
        </w:rPr>
      </w:pPr>
    </w:p>
    <w:p>
      <w:pPr>
        <w:pStyle w:val="BodyText"/>
        <w:spacing w:line="480" w:lineRule="auto"/>
        <w:ind w:left="119" w:right="483"/>
      </w:pPr>
      <w:r>
        <w:rPr>
          <w:color w:val="0E101A"/>
        </w:rPr>
        <w:t>The PHQ-9 is the additional assessment I did with Sara. Her score came back as 18 which indicate severe depression. A suicide risk assessment could have been completed due to Sara having thoughts that she would be better off dead.</w:t>
      </w:r>
    </w:p>
    <w:p>
      <w:pPr>
        <w:pStyle w:val="Heading1"/>
        <w:ind w:left="120"/>
      </w:pPr>
      <w:bookmarkStart w:name="Reflecting" w:id="7"/>
      <w:bookmarkEnd w:id="7"/>
      <w:r>
        <w:rPr>
          <w:b w:val="0"/>
        </w:rPr>
      </w:r>
      <w:r>
        <w:rPr>
          <w:color w:val="0E101A"/>
          <w:u w:val="thick" w:color="0E101A"/>
        </w:rPr>
        <w:t>Reflecting</w:t>
      </w:r>
    </w:p>
    <w:p>
      <w:pPr>
        <w:pStyle w:val="BodyText"/>
        <w:spacing w:before="2"/>
        <w:rPr>
          <w:b/>
          <w:sz w:val="16"/>
        </w:rPr>
      </w:pPr>
    </w:p>
    <w:p>
      <w:pPr>
        <w:spacing w:before="90"/>
        <w:ind w:left="840" w:right="0" w:firstLine="0"/>
        <w:jc w:val="left"/>
        <w:rPr>
          <w:b/>
          <w:sz w:val="24"/>
        </w:rPr>
      </w:pPr>
      <w:r>
        <w:rPr>
          <w:b/>
          <w:color w:val="0E101A"/>
          <w:sz w:val="24"/>
        </w:rPr>
        <w:t>MSE</w:t>
      </w:r>
    </w:p>
    <w:p>
      <w:pPr>
        <w:pStyle w:val="BodyText"/>
        <w:spacing w:before="11"/>
        <w:rPr>
          <w:b/>
          <w:sz w:val="22"/>
        </w:rPr>
      </w:pPr>
    </w:p>
    <w:p>
      <w:pPr>
        <w:pStyle w:val="BodyText"/>
        <w:spacing w:line="480" w:lineRule="auto"/>
        <w:ind w:left="120" w:right="395"/>
      </w:pPr>
      <w:r>
        <w:rPr>
          <w:color w:val="0E101A"/>
        </w:rPr>
        <w:t>I was very open and willing to talk with all the clients on the unit. I need to keep reminding myself that they are on that unit for mental health reasons and keep my guard up more. I approached the clients on the unit like I do the little old lady and older men I care for. Since I have such an open and welcoming attitude, it made those comfortable around me, and they were talking openly to me even though this was my first time around them. I was able to have an open dialog with Sara, who we were told in report doesn’t really open up to people. I</w:t>
      </w:r>
    </w:p>
    <w:p>
      <w:pPr>
        <w:spacing w:after="0" w:line="480" w:lineRule="auto"/>
        <w:sectPr>
          <w:pgSz w:w="12240" w:h="15840"/>
          <w:pgMar w:top="1300" w:bottom="0" w:left="1320" w:right="1380"/>
        </w:sectPr>
      </w:pPr>
    </w:p>
    <w:p>
      <w:pPr>
        <w:pStyle w:val="BodyText"/>
        <w:spacing w:line="480" w:lineRule="auto" w:before="72"/>
        <w:ind w:left="120" w:right="315"/>
      </w:pPr>
      <w:r>
        <w:rPr>
          <w:color w:val="0E101A"/>
        </w:rPr>
        <w:t>thought that was a very rewarding experience. I look at this clinical experience in a positive light, and as of right now, I am very comfortable interacting with the clients…. even when one of them lost it over not having her breakfast and wouldn’t accept any alternatives.</w:t>
      </w:r>
    </w:p>
    <w:p>
      <w:pPr>
        <w:pStyle w:val="Heading1"/>
        <w:spacing w:before="13"/>
      </w:pPr>
      <w:bookmarkStart w:name="Additional Assessment" w:id="8"/>
      <w:bookmarkEnd w:id="8"/>
      <w:r>
        <w:rPr>
          <w:b w:val="0"/>
        </w:rPr>
      </w:r>
      <w:r>
        <w:rPr>
          <w:color w:val="0E101A"/>
        </w:rPr>
        <w:t>Additional Assessment</w:t>
      </w:r>
    </w:p>
    <w:p>
      <w:pPr>
        <w:pStyle w:val="BodyText"/>
        <w:spacing w:before="9"/>
        <w:rPr>
          <w:b/>
          <w:sz w:val="23"/>
        </w:rPr>
      </w:pPr>
    </w:p>
    <w:p>
      <w:pPr>
        <w:pStyle w:val="BodyText"/>
        <w:spacing w:line="480" w:lineRule="auto"/>
        <w:ind w:left="119" w:right="316"/>
      </w:pPr>
      <w:r>
        <w:rPr>
          <w:color w:val="0E101A"/>
        </w:rPr>
        <w:t>I was very open and willing to talk with all the clients on the unit. I need to keep reminding myself that they are on that unit for mental health reasons and keep my guard up more. I approached the clients on the unit like I do the little old lady and older men I care for. Since I have such an open and welcoming attitude, it made those comfortable around me, and they were talking openly to me even though this was my first time around them. I was able to have an open dialog with Sara, who we were told in report doesn’t really open up to people. I thought that was a very rewarding experience. I look at this clinical experience in a positive light, and as of right now, I am very comfortable interacting with the clients…. even when one of them lost it over not having her breakfast and wouldn’t accept any alternatives.</w:t>
      </w:r>
    </w:p>
    <w:p>
      <w:pPr>
        <w:pStyle w:val="Heading1"/>
        <w:ind w:left="839"/>
      </w:pPr>
      <w:bookmarkStart w:name="." w:id="9"/>
      <w:bookmarkEnd w:id="9"/>
      <w:r>
        <w:rPr>
          <w:b w:val="0"/>
        </w:rPr>
      </w:r>
      <w:r>
        <w:rPr>
          <w:color w:val="0E101A"/>
        </w:rPr>
        <w:t>.</w:t>
      </w:r>
    </w:p>
    <w:p>
      <w:pPr>
        <w:spacing w:after="0"/>
        <w:sectPr>
          <w:pgSz w:w="12240" w:h="15840"/>
          <w:pgMar w:top="1280" w:bottom="280" w:left="1320" w:right="1380"/>
        </w:sectPr>
      </w:pPr>
    </w:p>
    <w:p>
      <w:pPr>
        <w:pStyle w:val="BodyText"/>
        <w:spacing w:before="4"/>
        <w:rPr>
          <w:b/>
          <w:sz w:val="17"/>
        </w:rPr>
      </w:pPr>
      <w:r>
        <w:rPr/>
        <w:drawing>
          <wp:anchor distT="0" distB="0" distL="0" distR="0" allowOverlap="1" layoutInCell="1" locked="0" behindDoc="1" simplePos="0" relativeHeight="251577344">
            <wp:simplePos x="0" y="0"/>
            <wp:positionH relativeFrom="page">
              <wp:posOffset>0</wp:posOffset>
            </wp:positionH>
            <wp:positionV relativeFrom="page">
              <wp:posOffset>0</wp:posOffset>
            </wp:positionV>
            <wp:extent cx="7772400" cy="10058400"/>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772400" cy="10058400"/>
                    </a:xfrm>
                    <a:prstGeom prst="rect">
                      <a:avLst/>
                    </a:prstGeom>
                  </pic:spPr>
                </pic:pic>
              </a:graphicData>
            </a:graphic>
          </wp:anchor>
        </w:drawing>
      </w:r>
    </w:p>
    <w:p>
      <w:pPr>
        <w:spacing w:after="0"/>
        <w:rPr>
          <w:sz w:val="17"/>
        </w:rPr>
        <w:sectPr>
          <w:pgSz w:w="12240" w:h="15840"/>
          <w:pgMar w:top="1500" w:bottom="280" w:left="1320" w:right="1380"/>
        </w:sectPr>
      </w:pPr>
    </w:p>
    <w:p>
      <w:pPr>
        <w:pStyle w:val="BodyText"/>
        <w:spacing w:before="4"/>
        <w:rPr>
          <w:b/>
          <w:sz w:val="17"/>
        </w:rPr>
      </w:pPr>
      <w:r>
        <w:rPr/>
        <w:drawing>
          <wp:anchor distT="0" distB="0" distL="0" distR="0" allowOverlap="1" layoutInCell="1" locked="0" behindDoc="1" simplePos="0" relativeHeight="251578368">
            <wp:simplePos x="0" y="0"/>
            <wp:positionH relativeFrom="page">
              <wp:posOffset>0</wp:posOffset>
            </wp:positionH>
            <wp:positionV relativeFrom="page">
              <wp:posOffset>0</wp:posOffset>
            </wp:positionV>
            <wp:extent cx="7772400" cy="10058400"/>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7772400" cy="10058400"/>
                    </a:xfrm>
                    <a:prstGeom prst="rect">
                      <a:avLst/>
                    </a:prstGeom>
                  </pic:spPr>
                </pic:pic>
              </a:graphicData>
            </a:graphic>
          </wp:anchor>
        </w:drawing>
      </w:r>
    </w:p>
    <w:sectPr>
      <w:pgSz w:w="12240" w:h="15840"/>
      <w:pgMar w:top="1500" w:bottom="280" w:left="1320" w:right="1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12"/>
      <w:ind w:left="840"/>
      <w:outlineLvl w:val="1"/>
    </w:pPr>
    <w:rPr>
      <w:rFonts w:ascii="Times New Roman" w:hAnsi="Times New Roman" w:eastAsia="Times New Roman" w:cs="Times New Roman"/>
      <w:b/>
      <w:bCs/>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2023-10-27T19:15:00Z</dcterms:created>
  <dcterms:modified xsi:type="dcterms:W3CDTF">2023-10-27T19:15:00Z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2023-10-27T00:00:00Z</vt:filetime>
  </property>
  <property fmtid="{D5CDD505-2E9C-101B-9397-08002B2CF9AE}" pid="3" name="Creator">
    <vt:lpwstr>HP Scan</vt:lpwstr>
  </property>
  <property fmtid="{D5CDD505-2E9C-101B-9397-08002B2CF9AE}" pid="4" name="LastSaved">
    <vt:filetime>2023-10-27T00:00:00Z</vt:filetime>
  </property>
</Properties>
</file>