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688D2" w14:textId="531A0685" w:rsidR="000A0498" w:rsidRDefault="000A0498" w:rsidP="000A0498">
      <w:r>
        <w:t xml:space="preserve">The following is a list of questions and notes about the process of converting EDGE courses into </w:t>
      </w:r>
      <w:r w:rsidR="006C06FE">
        <w:t>Canvas courses</w:t>
      </w:r>
      <w:r w:rsidR="0018355A">
        <w:t>. See</w:t>
      </w:r>
      <w:r w:rsidR="006C06FE">
        <w:t xml:space="preserve"> </w:t>
      </w:r>
      <w:r w:rsidR="00A5428E">
        <w:t xml:space="preserve">the </w:t>
      </w:r>
      <w:hyperlink r:id="rId5" w:history="1">
        <w:r w:rsidR="00A5428E" w:rsidRPr="00A5428E">
          <w:rPr>
            <w:rStyle w:val="Hyperlink"/>
          </w:rPr>
          <w:t>Cap Ed Template</w:t>
        </w:r>
      </w:hyperlink>
      <w:r w:rsidR="0018355A">
        <w:t xml:space="preserve"> for a visual illustration of the desired output.</w:t>
      </w:r>
      <w:r w:rsidR="003D7F66">
        <w:t xml:space="preserve"> Within this document, click View</w:t>
      </w:r>
      <w:r w:rsidR="003D7F66">
        <w:sym w:font="Wingdings" w:char="F0E0"/>
      </w:r>
      <w:r w:rsidR="003D7F66">
        <w:t>Navigation Pane for a clickable table of contents.</w:t>
      </w:r>
    </w:p>
    <w:p w14:paraId="280B9B30" w14:textId="55D73EBD" w:rsidR="00DA133F" w:rsidRDefault="00DA133F" w:rsidP="00DA133F">
      <w:pPr>
        <w:pStyle w:val="Heading1"/>
      </w:pPr>
      <w:r>
        <w:t>Questions</w:t>
      </w:r>
      <w:r w:rsidR="007A3DBD">
        <w:t xml:space="preserve"> for the Implementation Consultant</w:t>
      </w:r>
    </w:p>
    <w:p w14:paraId="0A1FC0AF" w14:textId="77777777" w:rsidR="00DA133F" w:rsidRPr="00830B62" w:rsidRDefault="00DA133F" w:rsidP="00DA133F">
      <w:pPr>
        <w:pStyle w:val="Heading2"/>
      </w:pPr>
      <w:r>
        <w:t>Syllabus</w:t>
      </w:r>
      <w:bookmarkStart w:id="0" w:name="_GoBack"/>
      <w:bookmarkEnd w:id="0"/>
    </w:p>
    <w:p w14:paraId="7F2FBE6E" w14:textId="253583B4" w:rsidR="00C8423B" w:rsidRDefault="00C8423B" w:rsidP="00C8423B">
      <w:r w:rsidRPr="00830B62">
        <w:rPr>
          <w:b/>
        </w:rPr>
        <w:t>Grade Weights:</w:t>
      </w:r>
      <w:r w:rsidRPr="00830B62">
        <w:t xml:space="preserve"> On the Syllabus page, can we get assignments’</w:t>
      </w:r>
      <w:r w:rsidR="001F51D4">
        <w:t xml:space="preserve"> points</w:t>
      </w:r>
      <w:r w:rsidR="009A7D84">
        <w:t xml:space="preserve"> </w:t>
      </w:r>
      <w:r w:rsidRPr="00830B62">
        <w:t xml:space="preserve">to appear in the Assignments Summary table </w:t>
      </w:r>
      <w:r w:rsidR="001F51D4">
        <w:t>along with the due dates?</w:t>
      </w:r>
    </w:p>
    <w:p w14:paraId="65A97F64" w14:textId="120387C5" w:rsidR="00DA133F" w:rsidRDefault="00DA133F" w:rsidP="00DA133F">
      <w:r w:rsidRPr="00830B62">
        <w:rPr>
          <w:b/>
        </w:rPr>
        <w:t xml:space="preserve">Assignments Summary: </w:t>
      </w:r>
      <w:r>
        <w:t>Can we change the title to just “Assignments” (i.e., delete “Summary:”)?</w:t>
      </w:r>
    </w:p>
    <w:p w14:paraId="3288FBDE" w14:textId="77777777" w:rsidR="00DA133F" w:rsidRDefault="00DA133F" w:rsidP="00DA133F">
      <w:pPr>
        <w:pStyle w:val="Heading2"/>
      </w:pPr>
      <w:r>
        <w:t>Modules</w:t>
      </w:r>
    </w:p>
    <w:p w14:paraId="4C3333A3" w14:textId="267B655A" w:rsidR="00DA133F" w:rsidRPr="003A35E8" w:rsidRDefault="00DA133F" w:rsidP="00DA133F">
      <w:r w:rsidRPr="003A35E8">
        <w:rPr>
          <w:b/>
        </w:rPr>
        <w:t>Breadcrumb</w:t>
      </w:r>
      <w:r w:rsidRPr="003A35E8">
        <w:t>: At the top of the Modules page, can we change “Modules” to “Home?”</w:t>
      </w:r>
    </w:p>
    <w:p w14:paraId="6350D2B3" w14:textId="77777777" w:rsidR="00DA133F" w:rsidRDefault="00DA133F" w:rsidP="00DA133F">
      <w:pPr>
        <w:pStyle w:val="Heading2"/>
      </w:pPr>
      <w:r>
        <w:t>Formatting</w:t>
      </w:r>
    </w:p>
    <w:p w14:paraId="11FEEF2F" w14:textId="655B577C" w:rsidR="003940C2" w:rsidRDefault="003940C2" w:rsidP="00DA133F">
      <w:r>
        <w:rPr>
          <w:b/>
        </w:rPr>
        <w:t>Headers</w:t>
      </w:r>
      <w:r w:rsidR="00D640BB">
        <w:rPr>
          <w:b/>
        </w:rPr>
        <w:t>/Styles</w:t>
      </w:r>
      <w:r>
        <w:rPr>
          <w:b/>
        </w:rPr>
        <w:t xml:space="preserve">: </w:t>
      </w:r>
      <w:r>
        <w:t xml:space="preserve">Can you set up individual CSS styles </w:t>
      </w:r>
      <w:r w:rsidR="007A3DBD">
        <w:t xml:space="preserve">(maybe via div tags?) </w:t>
      </w:r>
      <w:r>
        <w:t>for certain headers, and can these headers include icons? We use some headers (for example, “Readings”) a lot, and would like to precede them with a small graphic</w:t>
      </w:r>
      <w:r w:rsidR="00D640BB">
        <w:t xml:space="preserve"> that can be easily swapped out later if needs be</w:t>
      </w:r>
      <w:r>
        <w:t>.</w:t>
      </w:r>
      <w:r w:rsidR="00D640BB">
        <w:t xml:space="preserve"> </w:t>
      </w:r>
      <w:r w:rsidR="007A3DBD">
        <w:t>We also have a few special types of formatting. Here’s the full list</w:t>
      </w:r>
      <w:r w:rsidR="00D640BB">
        <w:t>:</w:t>
      </w:r>
    </w:p>
    <w:tbl>
      <w:tblPr>
        <w:tblStyle w:val="TableGrid"/>
        <w:tblW w:w="0" w:type="auto"/>
        <w:tblLook w:val="04A0" w:firstRow="1" w:lastRow="0" w:firstColumn="1" w:lastColumn="0" w:noHBand="0" w:noVBand="1"/>
      </w:tblPr>
      <w:tblGrid>
        <w:gridCol w:w="7195"/>
        <w:gridCol w:w="7195"/>
      </w:tblGrid>
      <w:tr w:rsidR="00D640BB" w14:paraId="538C06D2" w14:textId="77777777" w:rsidTr="00D640BB">
        <w:tc>
          <w:tcPr>
            <w:tcW w:w="7195" w:type="dxa"/>
          </w:tcPr>
          <w:p w14:paraId="420FA559" w14:textId="587A7293" w:rsidR="00D640BB" w:rsidRDefault="00DC7625" w:rsidP="00DA133F">
            <w:pPr>
              <w:rPr>
                <w:noProof/>
              </w:rPr>
            </w:pPr>
            <w:r>
              <w:rPr>
                <w:noProof/>
              </w:rPr>
              <w:t>Headers</w:t>
            </w:r>
            <w:r w:rsidR="007A3DBD">
              <w:rPr>
                <w:noProof/>
              </w:rPr>
              <w:t xml:space="preserve"> (based on Header 2)</w:t>
            </w:r>
            <w:r w:rsidR="004E5F3E">
              <w:rPr>
                <w:noProof/>
              </w:rPr>
              <w:t>:</w:t>
            </w:r>
          </w:p>
          <w:p w14:paraId="5228EF87" w14:textId="77777777" w:rsidR="00F44C56" w:rsidRDefault="00F44C56" w:rsidP="00DA133F">
            <w:pPr>
              <w:rPr>
                <w:noProof/>
              </w:rPr>
            </w:pPr>
          </w:p>
          <w:p w14:paraId="5C8C0EF4" w14:textId="3E10377A" w:rsidR="00D640BB" w:rsidRDefault="00F44C56" w:rsidP="00DC7625">
            <w:r>
              <w:object w:dxaOrig="5130" w:dyaOrig="9510" w14:anchorId="6312D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5pt;height:183.75pt" o:ole="">
                  <v:imagedata r:id="rId6" o:title=""/>
                </v:shape>
                <o:OLEObject Type="Embed" ProgID="PBrush" ShapeID="_x0000_i1025" DrawAspect="Content" ObjectID="_1540374082" r:id="rId7"/>
              </w:object>
            </w:r>
          </w:p>
        </w:tc>
        <w:tc>
          <w:tcPr>
            <w:tcW w:w="7195" w:type="dxa"/>
          </w:tcPr>
          <w:p w14:paraId="4548ACF5" w14:textId="0C6384BA" w:rsidR="00D640BB" w:rsidRDefault="00D640BB" w:rsidP="00DA133F">
            <w:r>
              <w:t>Special Formatting (see below for details):</w:t>
            </w:r>
          </w:p>
          <w:p w14:paraId="066C677D" w14:textId="77777777" w:rsidR="00D640BB" w:rsidRDefault="00D640BB" w:rsidP="00DA133F"/>
          <w:p w14:paraId="09A5E734" w14:textId="77777777" w:rsidR="00D640BB" w:rsidRDefault="00D640BB" w:rsidP="00DA133F">
            <w:r>
              <w:object w:dxaOrig="8340" w:dyaOrig="690" w14:anchorId="586B976F">
                <v:shape id="_x0000_i1026" type="#_x0000_t75" style="width:293.2pt;height:23.6pt" o:ole="">
                  <v:imagedata r:id="rId8" o:title=""/>
                </v:shape>
                <o:OLEObject Type="Embed" ProgID="PBrush" ShapeID="_x0000_i1026" DrawAspect="Content" ObjectID="_1540374083" r:id="rId9"/>
              </w:object>
            </w:r>
          </w:p>
          <w:p w14:paraId="65C5D908" w14:textId="77777777" w:rsidR="00D640BB" w:rsidRDefault="00D640BB" w:rsidP="00DA133F"/>
          <w:p w14:paraId="04267CBD" w14:textId="66477FCB" w:rsidR="00D640BB" w:rsidRDefault="00D640BB" w:rsidP="00DA133F">
            <w:r>
              <w:object w:dxaOrig="5670" w:dyaOrig="690" w14:anchorId="0869A52B">
                <v:shape id="_x0000_i1027" type="#_x0000_t75" style="width:210.25pt;height:25.9pt" o:ole="">
                  <v:imagedata r:id="rId10" o:title=""/>
                </v:shape>
                <o:OLEObject Type="Embed" ProgID="PBrush" ShapeID="_x0000_i1027" DrawAspect="Content" ObjectID="_1540374084" r:id="rId11"/>
              </w:object>
            </w:r>
          </w:p>
        </w:tc>
      </w:tr>
    </w:tbl>
    <w:p w14:paraId="4A60CDCE" w14:textId="0360166C" w:rsidR="00D640BB" w:rsidRDefault="00D640BB" w:rsidP="00DA133F"/>
    <w:p w14:paraId="31C19E72" w14:textId="77777777" w:rsidR="00DA6BD1" w:rsidRDefault="00DA133F" w:rsidP="00DA133F">
      <w:pPr>
        <w:pStyle w:val="Heading1"/>
      </w:pPr>
      <w:r>
        <w:lastRenderedPageBreak/>
        <w:t>Conversion Notes</w:t>
      </w:r>
      <w:r w:rsidR="00EE7B5A">
        <w:t xml:space="preserve"> – General</w:t>
      </w:r>
    </w:p>
    <w:p w14:paraId="6BE85301" w14:textId="77777777" w:rsidR="005452DD" w:rsidRPr="00BD13F1" w:rsidRDefault="005452DD" w:rsidP="00DA133F">
      <w:pPr>
        <w:pStyle w:val="Heading2"/>
      </w:pPr>
      <w:r w:rsidRPr="00BD13F1">
        <w:t>The Conversion Process</w:t>
      </w:r>
    </w:p>
    <w:p w14:paraId="4AC5342A" w14:textId="77777777" w:rsidR="005452DD" w:rsidRPr="00BD13F1" w:rsidRDefault="005452DD" w:rsidP="005452DD">
      <w:r w:rsidRPr="00BD13F1">
        <w:rPr>
          <w:b/>
        </w:rPr>
        <w:t xml:space="preserve">Planning: </w:t>
      </w:r>
      <w:r w:rsidRPr="00BD13F1">
        <w:t xml:space="preserve">After you read through these notes, schedule a call/screen-sharing session with us so that we can talk through the particulars and make final tweaks </w:t>
      </w:r>
      <w:r w:rsidR="002C4160" w:rsidRPr="00BD13F1">
        <w:t xml:space="preserve">to the guide </w:t>
      </w:r>
      <w:r w:rsidRPr="00BD13F1">
        <w:t>as necessary.</w:t>
      </w:r>
    </w:p>
    <w:p w14:paraId="0DDCD7F1" w14:textId="529F7222" w:rsidR="00BD13F1" w:rsidRDefault="005452DD" w:rsidP="005452DD">
      <w:r w:rsidRPr="00BD13F1">
        <w:rPr>
          <w:b/>
        </w:rPr>
        <w:t xml:space="preserve">Conversion: </w:t>
      </w:r>
      <w:r w:rsidRPr="00BD13F1">
        <w:t xml:space="preserve">As you convert a course, </w:t>
      </w:r>
      <w:r w:rsidR="00BD13F1">
        <w:t xml:space="preserve">follow the structure and format of </w:t>
      </w:r>
      <w:r w:rsidR="00A5428E">
        <w:t>the Cap Ed Template</w:t>
      </w:r>
      <w:r w:rsidR="00BD13F1">
        <w:t xml:space="preserve">. Note that, within the templates, information for you to fill in is highlighted in </w:t>
      </w:r>
      <w:r w:rsidR="00BD13F1" w:rsidRPr="00BD13F1">
        <w:rPr>
          <w:highlight w:val="yellow"/>
        </w:rPr>
        <w:t>yellow</w:t>
      </w:r>
      <w:r w:rsidR="00BD13F1">
        <w:t>. Default text that should (</w:t>
      </w:r>
      <w:r w:rsidR="00A5428E">
        <w:t>usually</w:t>
      </w:r>
      <w:r w:rsidR="00BD13F1">
        <w:t>) remain is not highlighted.</w:t>
      </w:r>
      <w:r w:rsidR="004157EF">
        <w:t xml:space="preserve"> Placeholder links point to Google.</w:t>
      </w:r>
    </w:p>
    <w:p w14:paraId="54769942" w14:textId="47DE8FF9" w:rsidR="00A5428E" w:rsidRPr="00A9040F" w:rsidRDefault="00BD13F1" w:rsidP="005452DD">
      <w:r w:rsidRPr="00A9040F">
        <w:t>Not every course will match the structure in the templates. For example, some courses will have Learning Outcomes on the Course Policies page; others won’</w:t>
      </w:r>
      <w:r w:rsidR="00A5428E" w:rsidRPr="00A9040F">
        <w:t xml:space="preserve">t. </w:t>
      </w:r>
      <w:r w:rsidR="00A83BD1" w:rsidRPr="00A9040F">
        <w:t>When in doubt</w:t>
      </w:r>
      <w:r w:rsidR="00A5428E" w:rsidRPr="00A9040F">
        <w:t>, follow this rule of thumb:</w:t>
      </w:r>
    </w:p>
    <w:p w14:paraId="47BB8BE4" w14:textId="4739EC01" w:rsidR="00A5428E" w:rsidRPr="00A9040F" w:rsidRDefault="00A5428E" w:rsidP="005452DD">
      <w:pPr>
        <w:pStyle w:val="ListParagraph"/>
        <w:numPr>
          <w:ilvl w:val="0"/>
          <w:numId w:val="13"/>
        </w:numPr>
      </w:pPr>
      <w:r w:rsidRPr="00A9040F">
        <w:t xml:space="preserve">If a course in EDGE has a component </w:t>
      </w:r>
      <w:r w:rsidR="00A83BD1" w:rsidRPr="00A9040F">
        <w:t>that isn’t in the</w:t>
      </w:r>
      <w:r w:rsidRPr="00A9040F">
        <w:t xml:space="preserve"> Canvas templates, transfer the component into the Canvas version and format it according to the general conversion guidelines.</w:t>
      </w:r>
    </w:p>
    <w:p w14:paraId="0F434D7D" w14:textId="42C3CD78" w:rsidR="00BD13F1" w:rsidRPr="00A9040F" w:rsidRDefault="001F51D4" w:rsidP="005452DD">
      <w:pPr>
        <w:pStyle w:val="ListParagraph"/>
        <w:numPr>
          <w:ilvl w:val="0"/>
          <w:numId w:val="13"/>
        </w:numPr>
      </w:pPr>
      <w:r>
        <w:t xml:space="preserve">If a course in EDGE doesn’t </w:t>
      </w:r>
      <w:r w:rsidR="00A5428E" w:rsidRPr="00A9040F">
        <w:t xml:space="preserve">have a particular component called for by the Canvas templates, delete that component in the Canvas version. </w:t>
      </w:r>
    </w:p>
    <w:p w14:paraId="6208D0B6" w14:textId="77777777" w:rsidR="00A5428E" w:rsidRDefault="00A5428E" w:rsidP="005452DD"/>
    <w:p w14:paraId="0A6F1131" w14:textId="685655D3" w:rsidR="005452DD" w:rsidRPr="005452DD" w:rsidRDefault="00A5428E" w:rsidP="005452DD">
      <w:r>
        <w:t xml:space="preserve">As you work, please </w:t>
      </w:r>
      <w:r w:rsidR="005452DD" w:rsidRPr="00BD13F1">
        <w:t>document questions you have for us and flag instances where something seem</w:t>
      </w:r>
      <w:r w:rsidR="002C4160" w:rsidRPr="00BD13F1">
        <w:t>s</w:t>
      </w:r>
      <w:r w:rsidR="005452DD" w:rsidRPr="00BD13F1">
        <w:t xml:space="preserve"> to be broken in the original EDGE </w:t>
      </w:r>
      <w:r w:rsidR="00696203" w:rsidRPr="00BD13F1">
        <w:t>build</w:t>
      </w:r>
      <w:r w:rsidR="005452DD" w:rsidRPr="00BD13F1">
        <w:t>. (For example, if you see text like “INCLUDE TAG ERROR FOR REFERENCE:[library/xml/assignment_1a].</w:t>
      </w:r>
      <w:r w:rsidR="00696203" w:rsidRPr="00BD13F1">
        <w:t>”</w:t>
      </w:r>
    </w:p>
    <w:p w14:paraId="61F347C9" w14:textId="77777777" w:rsidR="00DA133F" w:rsidRPr="00DA133F" w:rsidRDefault="00DA133F" w:rsidP="00DA133F">
      <w:pPr>
        <w:pStyle w:val="Heading2"/>
      </w:pPr>
      <w:r>
        <w:t>Navigation</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DA133F" w14:paraId="23F7F70C" w14:textId="77777777" w:rsidTr="00DA133F">
        <w:trPr>
          <w:tblHeader/>
        </w:trPr>
        <w:tc>
          <w:tcPr>
            <w:tcW w:w="2157" w:type="dxa"/>
          </w:tcPr>
          <w:p w14:paraId="4D15D2B2" w14:textId="77777777" w:rsidR="00DA133F" w:rsidRPr="00DA133F" w:rsidRDefault="00DA133F">
            <w:pPr>
              <w:rPr>
                <w:b/>
              </w:rPr>
            </w:pPr>
            <w:r w:rsidRPr="00DA133F">
              <w:rPr>
                <w:b/>
              </w:rPr>
              <w:t>EDGE Element</w:t>
            </w:r>
          </w:p>
        </w:tc>
        <w:tc>
          <w:tcPr>
            <w:tcW w:w="2158" w:type="dxa"/>
          </w:tcPr>
          <w:p w14:paraId="5940C6FC" w14:textId="77777777" w:rsidR="00DA133F" w:rsidRPr="00DA133F" w:rsidRDefault="00DA133F">
            <w:pPr>
              <w:rPr>
                <w:b/>
              </w:rPr>
            </w:pPr>
            <w:r w:rsidRPr="00DA133F">
              <w:rPr>
                <w:b/>
              </w:rPr>
              <w:t>Canvas Element</w:t>
            </w:r>
          </w:p>
        </w:tc>
        <w:tc>
          <w:tcPr>
            <w:tcW w:w="10075" w:type="dxa"/>
          </w:tcPr>
          <w:p w14:paraId="251EA6F6" w14:textId="77777777" w:rsidR="00DA133F" w:rsidRPr="00DA133F" w:rsidRDefault="00DA133F">
            <w:pPr>
              <w:rPr>
                <w:b/>
              </w:rPr>
            </w:pPr>
            <w:r w:rsidRPr="00DA133F">
              <w:rPr>
                <w:b/>
              </w:rPr>
              <w:t>Conversion Notes</w:t>
            </w:r>
          </w:p>
        </w:tc>
      </w:tr>
      <w:tr w:rsidR="00DA133F" w14:paraId="0AA493E9" w14:textId="77777777" w:rsidTr="00DA133F">
        <w:tc>
          <w:tcPr>
            <w:tcW w:w="2157" w:type="dxa"/>
          </w:tcPr>
          <w:p w14:paraId="7ACD4C5D" w14:textId="77777777" w:rsidR="00DA133F" w:rsidRPr="000A0498" w:rsidRDefault="00DA133F" w:rsidP="00696203">
            <w:r w:rsidRPr="000A0498">
              <w:t>Course Map</w:t>
            </w:r>
          </w:p>
        </w:tc>
        <w:tc>
          <w:tcPr>
            <w:tcW w:w="2158" w:type="dxa"/>
          </w:tcPr>
          <w:p w14:paraId="30F79727" w14:textId="77777777" w:rsidR="00DA133F" w:rsidRPr="000A0498" w:rsidRDefault="00DA133F">
            <w:r w:rsidRPr="000A0498">
              <w:t>Navigation</w:t>
            </w:r>
            <w:r w:rsidR="00980E4C">
              <w:t xml:space="preserve"> Links</w:t>
            </w:r>
          </w:p>
        </w:tc>
        <w:tc>
          <w:tcPr>
            <w:tcW w:w="10075" w:type="dxa"/>
          </w:tcPr>
          <w:p w14:paraId="256E8750" w14:textId="77777777" w:rsidR="00DA133F" w:rsidRPr="009A7D84" w:rsidRDefault="005452DD" w:rsidP="00DA133F">
            <w:r>
              <w:t>E</w:t>
            </w:r>
            <w:r w:rsidR="00DA133F" w:rsidRPr="009A7D84">
              <w:t xml:space="preserve">nable the following Canvas navigation </w:t>
            </w:r>
            <w:r w:rsidR="00980E4C" w:rsidRPr="009A7D84">
              <w:t>links</w:t>
            </w:r>
            <w:r w:rsidR="00DA133F" w:rsidRPr="009A7D84">
              <w:t>, in this order:</w:t>
            </w:r>
          </w:p>
          <w:p w14:paraId="1C49E13B" w14:textId="77777777" w:rsidR="00DA133F" w:rsidRPr="009A7D84" w:rsidRDefault="00DA133F" w:rsidP="00DA133F">
            <w:pPr>
              <w:pStyle w:val="ListParagraph"/>
              <w:numPr>
                <w:ilvl w:val="0"/>
                <w:numId w:val="1"/>
              </w:numPr>
            </w:pPr>
            <w:r w:rsidRPr="009A7D84">
              <w:t>Home</w:t>
            </w:r>
          </w:p>
          <w:p w14:paraId="59524DC1" w14:textId="77777777" w:rsidR="00DA133F" w:rsidRPr="009A7D84" w:rsidRDefault="00DA133F" w:rsidP="00DA133F">
            <w:pPr>
              <w:pStyle w:val="ListParagraph"/>
              <w:numPr>
                <w:ilvl w:val="0"/>
                <w:numId w:val="1"/>
              </w:numPr>
            </w:pPr>
            <w:r w:rsidRPr="009A7D84">
              <w:t>Syllabus</w:t>
            </w:r>
          </w:p>
          <w:p w14:paraId="457DBD3B" w14:textId="77777777" w:rsidR="00DA133F" w:rsidRPr="009A7D84" w:rsidRDefault="00DA133F" w:rsidP="00DA133F">
            <w:pPr>
              <w:pStyle w:val="ListParagraph"/>
              <w:numPr>
                <w:ilvl w:val="0"/>
                <w:numId w:val="1"/>
              </w:numPr>
            </w:pPr>
            <w:r w:rsidRPr="009A7D84">
              <w:t>Announcements</w:t>
            </w:r>
          </w:p>
          <w:p w14:paraId="03D14B4A" w14:textId="77777777" w:rsidR="00DA133F" w:rsidRPr="009A7D84" w:rsidRDefault="00DA133F" w:rsidP="00DA133F">
            <w:pPr>
              <w:pStyle w:val="ListParagraph"/>
              <w:numPr>
                <w:ilvl w:val="0"/>
                <w:numId w:val="1"/>
              </w:numPr>
            </w:pPr>
            <w:r w:rsidRPr="009A7D84">
              <w:t>Chat</w:t>
            </w:r>
          </w:p>
          <w:p w14:paraId="0F421AF8" w14:textId="77777777" w:rsidR="00DA133F" w:rsidRPr="009A7D84" w:rsidRDefault="00DA133F" w:rsidP="00DA133F">
            <w:pPr>
              <w:pStyle w:val="ListParagraph"/>
              <w:numPr>
                <w:ilvl w:val="0"/>
                <w:numId w:val="1"/>
              </w:numPr>
            </w:pPr>
            <w:r w:rsidRPr="009A7D84">
              <w:t>Discussions</w:t>
            </w:r>
          </w:p>
          <w:p w14:paraId="761161B3" w14:textId="77777777" w:rsidR="00DA133F" w:rsidRPr="009A7D84" w:rsidRDefault="00DA133F" w:rsidP="00DA133F">
            <w:pPr>
              <w:pStyle w:val="ListParagraph"/>
              <w:numPr>
                <w:ilvl w:val="0"/>
                <w:numId w:val="1"/>
              </w:numPr>
            </w:pPr>
            <w:r w:rsidRPr="009A7D84">
              <w:t>Grades</w:t>
            </w:r>
          </w:p>
          <w:p w14:paraId="13DE066B" w14:textId="77777777" w:rsidR="00DA133F" w:rsidRPr="009A7D84" w:rsidRDefault="00DA133F" w:rsidP="00DA133F">
            <w:pPr>
              <w:pStyle w:val="ListParagraph"/>
              <w:numPr>
                <w:ilvl w:val="0"/>
                <w:numId w:val="1"/>
              </w:numPr>
            </w:pPr>
            <w:r w:rsidRPr="009A7D84">
              <w:t>People</w:t>
            </w:r>
          </w:p>
          <w:p w14:paraId="47A8EA0C" w14:textId="77777777" w:rsidR="00DA133F" w:rsidRPr="009A7D84" w:rsidRDefault="00DA133F" w:rsidP="00DA133F"/>
          <w:p w14:paraId="3627AA86" w14:textId="77777777" w:rsidR="00DA133F" w:rsidRPr="009A7D84" w:rsidRDefault="00C21588" w:rsidP="00DA133F">
            <w:r w:rsidRPr="009A7D84">
              <w:t>Disable the other options, with the following exceptions:</w:t>
            </w:r>
          </w:p>
          <w:p w14:paraId="2AC59A31" w14:textId="77777777" w:rsidR="00C21588" w:rsidRPr="009A7D84" w:rsidRDefault="00C21588" w:rsidP="00C21588">
            <w:pPr>
              <w:pStyle w:val="ListParagraph"/>
              <w:numPr>
                <w:ilvl w:val="0"/>
                <w:numId w:val="9"/>
              </w:numPr>
            </w:pPr>
            <w:r w:rsidRPr="009A7D84">
              <w:t>If a course has Live Meeting enabled (under Course Social Centers) in EDGE, enable the “Conferences” link under “Discussions.”</w:t>
            </w:r>
          </w:p>
          <w:p w14:paraId="79B91686" w14:textId="77777777" w:rsidR="00C21588" w:rsidRPr="009A7D84" w:rsidRDefault="00C21588" w:rsidP="00C21588">
            <w:pPr>
              <w:pStyle w:val="ListParagraph"/>
              <w:numPr>
                <w:ilvl w:val="0"/>
                <w:numId w:val="9"/>
              </w:numPr>
            </w:pPr>
            <w:r w:rsidRPr="009A7D84">
              <w:t>If a course has the Team Room enabled (under Course Social Centers) in EDGE, enable the “Collaborations” link under “Discussions” in Canvas.</w:t>
            </w:r>
          </w:p>
          <w:p w14:paraId="4CA212E2" w14:textId="77777777" w:rsidR="001C75E0" w:rsidRPr="009A7D84" w:rsidRDefault="001C75E0" w:rsidP="00DA133F"/>
          <w:p w14:paraId="00BB39DA" w14:textId="77777777" w:rsidR="001C75E0" w:rsidRPr="009A7D84" w:rsidRDefault="001C75E0" w:rsidP="00DA133F">
            <w:r w:rsidRPr="009A7D84">
              <w:t xml:space="preserve">Then transfer the nodes/pages listed under the Course Map in EDGE into corresponding modules/pages in Canvas. See the notes </w:t>
            </w:r>
            <w:r w:rsidR="00C21588" w:rsidRPr="009A7D84">
              <w:t>in the rest of this document</w:t>
            </w:r>
            <w:r w:rsidRPr="009A7D84">
              <w:t xml:space="preserve"> for specifics.</w:t>
            </w:r>
          </w:p>
          <w:p w14:paraId="29A71A31" w14:textId="77777777" w:rsidR="00DA133F" w:rsidRPr="009A7D84" w:rsidRDefault="00DA133F"/>
        </w:tc>
      </w:tr>
      <w:tr w:rsidR="00DA133F" w14:paraId="4A1D5991" w14:textId="77777777" w:rsidTr="00DA133F">
        <w:tc>
          <w:tcPr>
            <w:tcW w:w="2157" w:type="dxa"/>
          </w:tcPr>
          <w:p w14:paraId="66CB02E8" w14:textId="77777777" w:rsidR="00DA133F" w:rsidRPr="000A0498" w:rsidRDefault="00FF5C55">
            <w:r w:rsidRPr="000A0498">
              <w:lastRenderedPageBreak/>
              <w:t>N/A</w:t>
            </w:r>
          </w:p>
        </w:tc>
        <w:tc>
          <w:tcPr>
            <w:tcW w:w="2158" w:type="dxa"/>
          </w:tcPr>
          <w:p w14:paraId="153B7BC0" w14:textId="77777777" w:rsidR="00DA133F" w:rsidRPr="000A0498" w:rsidRDefault="00FF5C55">
            <w:r w:rsidRPr="000A0498">
              <w:t>Home Page</w:t>
            </w:r>
          </w:p>
        </w:tc>
        <w:tc>
          <w:tcPr>
            <w:tcW w:w="10075" w:type="dxa"/>
          </w:tcPr>
          <w:p w14:paraId="2607417A" w14:textId="77777777" w:rsidR="00DA133F" w:rsidRDefault="005452DD" w:rsidP="00FF5C55">
            <w:r>
              <w:t>S</w:t>
            </w:r>
            <w:r w:rsidR="00FF5C55" w:rsidRPr="00FF5C55">
              <w:t xml:space="preserve">et the Modules page </w:t>
            </w:r>
            <w:r w:rsidR="00FF5C55">
              <w:t>as</w:t>
            </w:r>
            <w:r w:rsidR="00FF5C55" w:rsidRPr="00FF5C55">
              <w:t xml:space="preserve"> the Home page.</w:t>
            </w:r>
          </w:p>
          <w:p w14:paraId="7F67BF28" w14:textId="77777777" w:rsidR="00537A5E" w:rsidRDefault="00537A5E" w:rsidP="00FF5C55"/>
        </w:tc>
      </w:tr>
    </w:tbl>
    <w:p w14:paraId="6301E937" w14:textId="77777777" w:rsidR="00DA133F" w:rsidRDefault="00FF5C55" w:rsidP="00FF5C55">
      <w:pPr>
        <w:pStyle w:val="Heading2"/>
      </w:pPr>
      <w:r>
        <w:t>Orientation</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FF5C55" w:rsidRPr="00DA133F" w14:paraId="71D4B1FC" w14:textId="77777777" w:rsidTr="00155D32">
        <w:trPr>
          <w:tblHeader/>
        </w:trPr>
        <w:tc>
          <w:tcPr>
            <w:tcW w:w="2157" w:type="dxa"/>
          </w:tcPr>
          <w:p w14:paraId="5B5CBF24" w14:textId="77777777" w:rsidR="00FF5C55" w:rsidRPr="00DA133F" w:rsidRDefault="00FF5C55" w:rsidP="00155D32">
            <w:pPr>
              <w:rPr>
                <w:b/>
              </w:rPr>
            </w:pPr>
            <w:r w:rsidRPr="00DA133F">
              <w:rPr>
                <w:b/>
              </w:rPr>
              <w:t>EDGE Element</w:t>
            </w:r>
          </w:p>
        </w:tc>
        <w:tc>
          <w:tcPr>
            <w:tcW w:w="2158" w:type="dxa"/>
          </w:tcPr>
          <w:p w14:paraId="101DB1F4" w14:textId="77777777" w:rsidR="00FF5C55" w:rsidRPr="00DA133F" w:rsidRDefault="00FF5C55" w:rsidP="00155D32">
            <w:pPr>
              <w:rPr>
                <w:b/>
              </w:rPr>
            </w:pPr>
            <w:r w:rsidRPr="00DA133F">
              <w:rPr>
                <w:b/>
              </w:rPr>
              <w:t>Canvas Element</w:t>
            </w:r>
          </w:p>
        </w:tc>
        <w:tc>
          <w:tcPr>
            <w:tcW w:w="10075" w:type="dxa"/>
          </w:tcPr>
          <w:p w14:paraId="5E40AA5E" w14:textId="77777777" w:rsidR="00FF5C55" w:rsidRPr="00DA133F" w:rsidRDefault="00FF5C55" w:rsidP="00155D32">
            <w:pPr>
              <w:rPr>
                <w:b/>
              </w:rPr>
            </w:pPr>
            <w:r w:rsidRPr="00DA133F">
              <w:rPr>
                <w:b/>
              </w:rPr>
              <w:t>Conversion Notes</w:t>
            </w:r>
          </w:p>
        </w:tc>
      </w:tr>
      <w:tr w:rsidR="00FF5C55" w14:paraId="6E3AC01E" w14:textId="77777777" w:rsidTr="00155D32">
        <w:tc>
          <w:tcPr>
            <w:tcW w:w="2157" w:type="dxa"/>
          </w:tcPr>
          <w:p w14:paraId="07BD0896" w14:textId="77777777" w:rsidR="00FF5C55" w:rsidRPr="000A0498" w:rsidRDefault="00FF5C55" w:rsidP="00155D32">
            <w:r w:rsidRPr="000A0498">
              <w:t>Welcome Page</w:t>
            </w:r>
          </w:p>
        </w:tc>
        <w:tc>
          <w:tcPr>
            <w:tcW w:w="2158" w:type="dxa"/>
          </w:tcPr>
          <w:p w14:paraId="79FF15AA" w14:textId="77777777" w:rsidR="00FF5C55" w:rsidRPr="000A0498" w:rsidRDefault="00FF5C55" w:rsidP="00155D32">
            <w:r w:rsidRPr="000A0498">
              <w:t>Welcome Page</w:t>
            </w:r>
          </w:p>
        </w:tc>
        <w:tc>
          <w:tcPr>
            <w:tcW w:w="10075" w:type="dxa"/>
          </w:tcPr>
          <w:p w14:paraId="49EF1D48" w14:textId="5840079E" w:rsidR="00FF5C55" w:rsidRDefault="00FF5C55" w:rsidP="00FF5C55">
            <w:r>
              <w:t xml:space="preserve">Don’t transfer the Welcome page from Edge. Instead, create a new Welcome page that follows the format of the Welcome page in </w:t>
            </w:r>
            <w:r w:rsidR="00A5428E">
              <w:t>The Cap Ed Template</w:t>
            </w:r>
            <w:r>
              <w:t>.</w:t>
            </w:r>
          </w:p>
          <w:p w14:paraId="75433D2D" w14:textId="77777777" w:rsidR="001C75E0" w:rsidRDefault="001C75E0" w:rsidP="00FF5C55"/>
          <w:p w14:paraId="2F8EE860" w14:textId="77777777" w:rsidR="001C75E0" w:rsidRDefault="001C75E0" w:rsidP="00FF5C55">
            <w:r>
              <w:t>In the Orientation module, preface the Welcome Page with a text header that reads “</w:t>
            </w:r>
            <w:r w:rsidR="005452DD">
              <w:t>G</w:t>
            </w:r>
            <w:r w:rsidRPr="001C75E0">
              <w:t>et started by opening the Welcome page.</w:t>
            </w:r>
            <w:r>
              <w:t>”</w:t>
            </w:r>
          </w:p>
          <w:p w14:paraId="18757CA0" w14:textId="77777777" w:rsidR="00FF5C55" w:rsidRDefault="00FF5C55" w:rsidP="00155D32"/>
        </w:tc>
      </w:tr>
      <w:tr w:rsidR="00004059" w14:paraId="2AF0E4C7" w14:textId="77777777" w:rsidTr="00155D32">
        <w:tc>
          <w:tcPr>
            <w:tcW w:w="2157" w:type="dxa"/>
          </w:tcPr>
          <w:p w14:paraId="450F828D" w14:textId="02ECF3BF" w:rsidR="00004059" w:rsidRPr="000A0498" w:rsidRDefault="00004059" w:rsidP="00155D32">
            <w:r>
              <w:t>N/A</w:t>
            </w:r>
          </w:p>
        </w:tc>
        <w:tc>
          <w:tcPr>
            <w:tcW w:w="2158" w:type="dxa"/>
          </w:tcPr>
          <w:p w14:paraId="7F103223" w14:textId="0C89E8B7" w:rsidR="00004059" w:rsidRPr="000A0498" w:rsidRDefault="00004059" w:rsidP="00155D32">
            <w:r>
              <w:t>Course Policies</w:t>
            </w:r>
          </w:p>
        </w:tc>
        <w:tc>
          <w:tcPr>
            <w:tcW w:w="10075" w:type="dxa"/>
          </w:tcPr>
          <w:p w14:paraId="0EC616D4" w14:textId="77777777" w:rsidR="00004059" w:rsidRDefault="00004059" w:rsidP="00FF5C55">
            <w:r>
              <w:t>Create a Course Policies page. See below for details.</w:t>
            </w:r>
          </w:p>
          <w:p w14:paraId="2B605D88" w14:textId="6F00DA5D" w:rsidR="00004059" w:rsidRDefault="00004059" w:rsidP="00FF5C55"/>
        </w:tc>
      </w:tr>
      <w:tr w:rsidR="00FF5C55" w14:paraId="68BFEDA3" w14:textId="77777777" w:rsidTr="00155D32">
        <w:tc>
          <w:tcPr>
            <w:tcW w:w="2157" w:type="dxa"/>
          </w:tcPr>
          <w:p w14:paraId="5EE92F5D" w14:textId="77777777" w:rsidR="00FF5C55" w:rsidRPr="000A0498" w:rsidRDefault="00FF5C55" w:rsidP="00155D32">
            <w:r w:rsidRPr="000A0498">
              <w:t>Getting Started Page</w:t>
            </w:r>
          </w:p>
        </w:tc>
        <w:tc>
          <w:tcPr>
            <w:tcW w:w="2158" w:type="dxa"/>
          </w:tcPr>
          <w:p w14:paraId="32CAF55A" w14:textId="386DB02F" w:rsidR="00FF5C55" w:rsidRPr="000A0498" w:rsidRDefault="00004059" w:rsidP="00004059">
            <w:r>
              <w:t>[</w:t>
            </w:r>
            <w:r w:rsidR="00FF5C55" w:rsidRPr="000A0498">
              <w:t xml:space="preserve">School </w:t>
            </w:r>
            <w:r>
              <w:t>Name] Orientation</w:t>
            </w:r>
          </w:p>
        </w:tc>
        <w:tc>
          <w:tcPr>
            <w:tcW w:w="10075" w:type="dxa"/>
          </w:tcPr>
          <w:p w14:paraId="2F334D1F" w14:textId="4967F616" w:rsidR="00FF5C55" w:rsidRDefault="00FF5C55" w:rsidP="00FF5C55">
            <w:r>
              <w:t xml:space="preserve">Don’t transfer the Getting Started page from Edge. Instead, insert a link to the school’s orientation course. </w:t>
            </w:r>
            <w:r w:rsidR="001F51D4">
              <w:t>If no orientation course exists yet, create a placeholder for it.</w:t>
            </w:r>
          </w:p>
          <w:p w14:paraId="5E22666B" w14:textId="77777777" w:rsidR="00FF5C55" w:rsidRDefault="00FF5C55" w:rsidP="00FF5C55"/>
        </w:tc>
      </w:tr>
      <w:tr w:rsidR="000A0498" w14:paraId="0526BE56" w14:textId="77777777" w:rsidTr="00155D32">
        <w:tc>
          <w:tcPr>
            <w:tcW w:w="2157" w:type="dxa"/>
          </w:tcPr>
          <w:p w14:paraId="260C6D18" w14:textId="77777777" w:rsidR="000A0498" w:rsidRPr="000A0498" w:rsidRDefault="000A0498" w:rsidP="00155D32">
            <w:r>
              <w:t>N/A</w:t>
            </w:r>
          </w:p>
        </w:tc>
        <w:tc>
          <w:tcPr>
            <w:tcW w:w="2158" w:type="dxa"/>
          </w:tcPr>
          <w:p w14:paraId="2E84CAF7" w14:textId="77777777" w:rsidR="000A0498" w:rsidRDefault="000A0498" w:rsidP="00155D32">
            <w:r>
              <w:t>Assignment 0</w:t>
            </w:r>
            <w:r w:rsidR="00004059">
              <w:t>: Meet Your Classmates Discussion</w:t>
            </w:r>
          </w:p>
          <w:p w14:paraId="45C1F441" w14:textId="214D5363" w:rsidR="00004059" w:rsidRPr="000A0498" w:rsidRDefault="00004059" w:rsidP="00155D32"/>
        </w:tc>
        <w:tc>
          <w:tcPr>
            <w:tcW w:w="10075" w:type="dxa"/>
          </w:tcPr>
          <w:p w14:paraId="3CC446D8" w14:textId="749C3943" w:rsidR="000A0498" w:rsidRDefault="00E41B54" w:rsidP="00FF5C55">
            <w:r>
              <w:t>End</w:t>
            </w:r>
            <w:r w:rsidR="001C75E0">
              <w:t xml:space="preserve"> the Orientation m</w:t>
            </w:r>
            <w:r w:rsidR="000A0498">
              <w:t xml:space="preserve">odule </w:t>
            </w:r>
            <w:r>
              <w:t xml:space="preserve">in Canvas </w:t>
            </w:r>
            <w:r w:rsidR="000A0498">
              <w:t xml:space="preserve">with an “Assignment 0: Meet Your Classmates Discussion” modeled after the assignment of the same name in </w:t>
            </w:r>
            <w:r w:rsidR="00C76DDB">
              <w:t>t</w:t>
            </w:r>
            <w:r w:rsidR="00A5428E">
              <w:t>he Cap Ed Template</w:t>
            </w:r>
            <w:r w:rsidR="000A0498">
              <w:t>.</w:t>
            </w:r>
          </w:p>
          <w:p w14:paraId="50DE8F27" w14:textId="77777777" w:rsidR="000A0498" w:rsidRDefault="000A0498" w:rsidP="00FF5C55"/>
        </w:tc>
      </w:tr>
      <w:tr w:rsidR="00C76DDB" w14:paraId="2F355AA7" w14:textId="77777777" w:rsidTr="00155D32">
        <w:tc>
          <w:tcPr>
            <w:tcW w:w="2157" w:type="dxa"/>
          </w:tcPr>
          <w:p w14:paraId="0624B23A" w14:textId="6B72572E" w:rsidR="00C76DDB" w:rsidRPr="001F51D4" w:rsidRDefault="00C76DDB" w:rsidP="00155D32">
            <w:r w:rsidRPr="001F51D4">
              <w:t>N/A</w:t>
            </w:r>
          </w:p>
        </w:tc>
        <w:tc>
          <w:tcPr>
            <w:tcW w:w="2158" w:type="dxa"/>
          </w:tcPr>
          <w:p w14:paraId="48D603AE" w14:textId="2AEE71A0" w:rsidR="00C76DDB" w:rsidRPr="001F51D4" w:rsidRDefault="00C76DDB" w:rsidP="00155D32">
            <w:r w:rsidRPr="001F51D4">
              <w:t>Instructor Guide</w:t>
            </w:r>
          </w:p>
        </w:tc>
        <w:tc>
          <w:tcPr>
            <w:tcW w:w="10075" w:type="dxa"/>
          </w:tcPr>
          <w:p w14:paraId="5ACEAE5D" w14:textId="6B00C7AA" w:rsidR="00C76DDB" w:rsidRPr="001F51D4" w:rsidRDefault="00C76DDB" w:rsidP="00C76DDB">
            <w:r w:rsidRPr="001F51D4">
              <w:t xml:space="preserve">Create an </w:t>
            </w:r>
            <w:r w:rsidRPr="001F51D4">
              <w:rPr>
                <w:b/>
              </w:rPr>
              <w:t xml:space="preserve">UNPUBLISHED </w:t>
            </w:r>
            <w:r w:rsidRPr="001F51D4">
              <w:t>“Instructor Guide” page at the end of the Orientation Module. Use a table format on the Instructor Guide page to house the content of any "Visible to Faculty Only" notes you find in the course (except for the note on the Syllabus that begins “Note, if you are reviewing this course in the production environment…”)</w:t>
            </w:r>
          </w:p>
          <w:p w14:paraId="46041474" w14:textId="77777777" w:rsidR="00C76DDB" w:rsidRPr="001F51D4" w:rsidRDefault="00C76DDB" w:rsidP="00C76DDB"/>
          <w:p w14:paraId="25918AD9" w14:textId="7DCAA8C9" w:rsidR="00C76DDB" w:rsidRPr="001F51D4" w:rsidRDefault="00C76DDB" w:rsidP="00C76DDB">
            <w:r w:rsidRPr="001F51D4">
              <w:t xml:space="preserve">In the table, use the first column to list </w:t>
            </w:r>
            <w:r w:rsidR="001F51D4">
              <w:t xml:space="preserve">and link to </w:t>
            </w:r>
            <w:r w:rsidRPr="001F51D4">
              <w:t>the affected pages. Use the second column to recreate the relevant "Visible to Faculty Only" content. See the Cap Ed Template for an example.</w:t>
            </w:r>
          </w:p>
          <w:p w14:paraId="5B885F1A" w14:textId="77777777" w:rsidR="00C76DDB" w:rsidRPr="001F51D4" w:rsidRDefault="00C76DDB" w:rsidP="00C76DDB"/>
          <w:p w14:paraId="19B55219" w14:textId="61F100BC" w:rsidR="00C76DDB" w:rsidRPr="001F51D4" w:rsidRDefault="001F51D4" w:rsidP="00C76DDB">
            <w:r>
              <w:rPr>
                <w:b/>
              </w:rPr>
              <w:t xml:space="preserve">AGAIN, </w:t>
            </w:r>
            <w:r w:rsidR="00C76DDB" w:rsidRPr="001F51D4">
              <w:rPr>
                <w:b/>
              </w:rPr>
              <w:t>DO NOT PUBLISH THIS PAGE</w:t>
            </w:r>
            <w:r w:rsidR="00C76DDB" w:rsidRPr="001F51D4">
              <w:t>. It should remain hidden from students, as some of the "Visible to Faculty Only" notes contain answer keys.</w:t>
            </w:r>
          </w:p>
          <w:p w14:paraId="5C1B40E7" w14:textId="77777777" w:rsidR="00C76DDB" w:rsidRPr="001F51D4" w:rsidRDefault="00C76DDB" w:rsidP="00C76DDB"/>
          <w:p w14:paraId="4FE4090F" w14:textId="77777777" w:rsidR="00C76DDB" w:rsidRPr="001F51D4" w:rsidRDefault="00C76DDB" w:rsidP="00C76DDB">
            <w:r w:rsidRPr="001F51D4">
              <w:t>If there are no "Visible to Faculty Only" notes, delete this page.</w:t>
            </w:r>
          </w:p>
          <w:p w14:paraId="55581548" w14:textId="37519593" w:rsidR="00C76DDB" w:rsidRPr="001F51D4" w:rsidRDefault="00C76DDB" w:rsidP="00C76DDB"/>
        </w:tc>
      </w:tr>
    </w:tbl>
    <w:p w14:paraId="3A60A3B0" w14:textId="77777777" w:rsidR="00FF5C55" w:rsidRDefault="00FF5C55" w:rsidP="00FF5C55">
      <w:pPr>
        <w:pStyle w:val="Heading2"/>
      </w:pPr>
      <w:r>
        <w:t>Syllabus</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0A0498" w:rsidRPr="00DA133F" w14:paraId="43B0863C" w14:textId="77777777" w:rsidTr="00155D32">
        <w:trPr>
          <w:tblHeader/>
        </w:trPr>
        <w:tc>
          <w:tcPr>
            <w:tcW w:w="2157" w:type="dxa"/>
          </w:tcPr>
          <w:p w14:paraId="2874647D" w14:textId="77777777" w:rsidR="000A0498" w:rsidRPr="00DA133F" w:rsidRDefault="000A0498" w:rsidP="00155D32">
            <w:pPr>
              <w:rPr>
                <w:b/>
              </w:rPr>
            </w:pPr>
            <w:r w:rsidRPr="00DA133F">
              <w:rPr>
                <w:b/>
              </w:rPr>
              <w:t>EDGE Element</w:t>
            </w:r>
          </w:p>
        </w:tc>
        <w:tc>
          <w:tcPr>
            <w:tcW w:w="2158" w:type="dxa"/>
          </w:tcPr>
          <w:p w14:paraId="143FE92D" w14:textId="77777777" w:rsidR="000A0498" w:rsidRPr="00DA133F" w:rsidRDefault="000A0498" w:rsidP="00155D32">
            <w:pPr>
              <w:rPr>
                <w:b/>
              </w:rPr>
            </w:pPr>
            <w:r w:rsidRPr="00DA133F">
              <w:rPr>
                <w:b/>
              </w:rPr>
              <w:t>Canvas Element</w:t>
            </w:r>
          </w:p>
        </w:tc>
        <w:tc>
          <w:tcPr>
            <w:tcW w:w="10075" w:type="dxa"/>
          </w:tcPr>
          <w:p w14:paraId="72E12E0C" w14:textId="77777777" w:rsidR="000A0498" w:rsidRPr="00DA133F" w:rsidRDefault="000A0498" w:rsidP="00155D32">
            <w:pPr>
              <w:rPr>
                <w:b/>
              </w:rPr>
            </w:pPr>
            <w:r w:rsidRPr="00DA133F">
              <w:rPr>
                <w:b/>
              </w:rPr>
              <w:t>Conversion Notes</w:t>
            </w:r>
          </w:p>
        </w:tc>
      </w:tr>
      <w:tr w:rsidR="000A0498" w14:paraId="224B9147" w14:textId="77777777" w:rsidTr="00155D32">
        <w:tc>
          <w:tcPr>
            <w:tcW w:w="2157" w:type="dxa"/>
          </w:tcPr>
          <w:p w14:paraId="661A79A5" w14:textId="77777777" w:rsidR="000A0498" w:rsidRPr="000A0498" w:rsidRDefault="000A0498" w:rsidP="00155D32">
            <w:r>
              <w:t xml:space="preserve">Syllabus </w:t>
            </w:r>
            <w:r w:rsidR="00796517">
              <w:t>Node/</w:t>
            </w:r>
            <w:r>
              <w:t>Page</w:t>
            </w:r>
          </w:p>
        </w:tc>
        <w:tc>
          <w:tcPr>
            <w:tcW w:w="2158" w:type="dxa"/>
          </w:tcPr>
          <w:p w14:paraId="20B9A495" w14:textId="77777777" w:rsidR="000A0498" w:rsidRPr="000A0498" w:rsidRDefault="000A0498" w:rsidP="00155D32">
            <w:r>
              <w:t>Syllabus Page</w:t>
            </w:r>
          </w:p>
        </w:tc>
        <w:tc>
          <w:tcPr>
            <w:tcW w:w="10075" w:type="dxa"/>
          </w:tcPr>
          <w:p w14:paraId="0CEBA25A" w14:textId="77777777" w:rsidR="000A0498" w:rsidRDefault="0018355A" w:rsidP="0018355A">
            <w:r>
              <w:t>Transfer all Syllabus content from Edge, with the following exceptions:</w:t>
            </w:r>
          </w:p>
          <w:p w14:paraId="46C00F57" w14:textId="77777777" w:rsidR="00004E1C" w:rsidRDefault="00004E1C" w:rsidP="0018355A">
            <w:pPr>
              <w:pStyle w:val="ListParagraph"/>
              <w:numPr>
                <w:ilvl w:val="0"/>
                <w:numId w:val="2"/>
              </w:numPr>
            </w:pPr>
            <w:r>
              <w:rPr>
                <w:u w:val="single"/>
              </w:rPr>
              <w:t>Course Policies</w:t>
            </w:r>
            <w:r>
              <w:t xml:space="preserve">: Create a separate page for the Course Policies and insert this </w:t>
            </w:r>
            <w:r w:rsidR="00E41B54">
              <w:t xml:space="preserve">page </w:t>
            </w:r>
            <w:r>
              <w:t>into the Orientation module, beneath the Welcome Page.</w:t>
            </w:r>
          </w:p>
          <w:p w14:paraId="511962BB" w14:textId="5B3FD4CD" w:rsidR="00072354" w:rsidRDefault="00072354" w:rsidP="00192A38">
            <w:pPr>
              <w:pStyle w:val="ListParagraph"/>
              <w:numPr>
                <w:ilvl w:val="0"/>
                <w:numId w:val="2"/>
              </w:numPr>
            </w:pPr>
            <w:r w:rsidRPr="00192A38">
              <w:rPr>
                <w:u w:val="single"/>
              </w:rPr>
              <w:lastRenderedPageBreak/>
              <w:t>Print</w:t>
            </w:r>
            <w:r w:rsidR="00192A38" w:rsidRPr="00192A38">
              <w:rPr>
                <w:u w:val="single"/>
              </w:rPr>
              <w:t>/Home</w:t>
            </w:r>
            <w:r w:rsidRPr="00192A38">
              <w:rPr>
                <w:u w:val="single"/>
              </w:rPr>
              <w:t xml:space="preserve"> Instructions</w:t>
            </w:r>
            <w:r>
              <w:t>: Beneath the introductory paragraph, add the following:</w:t>
            </w:r>
            <w:r w:rsidR="00192A38">
              <w:t xml:space="preserve"> “</w:t>
            </w:r>
            <w:r w:rsidRPr="00072354">
              <w:t xml:space="preserve">If you'd like to download </w:t>
            </w:r>
            <w:r w:rsidR="004157EF">
              <w:t>or</w:t>
            </w:r>
            <w:r w:rsidRPr="00072354">
              <w:t xml:space="preserve"> print a copy of this syllabus, </w:t>
            </w:r>
            <w:r w:rsidRPr="00A9040F">
              <w:t>select the Print option from your browser menu and save a PDF version or print a paper version of this page.</w:t>
            </w:r>
            <w:r w:rsidR="00192A38" w:rsidRPr="00A9040F">
              <w:t xml:space="preserve"> When you're ready to start your course work, select the </w:t>
            </w:r>
            <w:r w:rsidR="00192A38" w:rsidRPr="00A9040F">
              <w:rPr>
                <w:rFonts w:asciiTheme="minorHAnsi" w:hAnsiTheme="minorHAnsi" w:cstheme="minorBidi"/>
                <w:color w:val="0070C0"/>
              </w:rPr>
              <w:t>Home</w:t>
            </w:r>
            <w:r w:rsidR="00192A38" w:rsidRPr="00A9040F">
              <w:t xml:space="preserve"> link in the left-hand navigation bar.”</w:t>
            </w:r>
          </w:p>
          <w:p w14:paraId="3AD3AE5D" w14:textId="1E97005E" w:rsidR="0057796B" w:rsidRPr="0057796B" w:rsidRDefault="0057796B" w:rsidP="0057796B">
            <w:pPr>
              <w:pStyle w:val="ListParagraph"/>
            </w:pPr>
            <w:r>
              <w:t xml:space="preserve">Do NOT transfer over the “PDF of Syllabus” from EDGE. This goes for the first page in each unit as well—don’t transfer over the “PDF of Unit X.” </w:t>
            </w:r>
          </w:p>
          <w:p w14:paraId="55ED8FE0" w14:textId="77777777" w:rsidR="0018355A" w:rsidRPr="0018355A" w:rsidRDefault="0018355A" w:rsidP="0018355A">
            <w:pPr>
              <w:pStyle w:val="ListParagraph"/>
              <w:numPr>
                <w:ilvl w:val="0"/>
                <w:numId w:val="2"/>
              </w:numPr>
            </w:pPr>
            <w:r w:rsidRPr="00A9040F">
              <w:rPr>
                <w:u w:val="single"/>
              </w:rPr>
              <w:t>Schedule and Grading</w:t>
            </w:r>
            <w:r w:rsidRPr="00A9040F">
              <w:t xml:space="preserve">: Change the text of this note to: </w:t>
            </w:r>
            <w:r w:rsidRPr="00A9040F">
              <w:rPr>
                <w:rFonts w:asciiTheme="minorHAnsi" w:hAnsiTheme="minorHAnsi" w:cstheme="minorBidi"/>
              </w:rPr>
              <w:t>“Unless</w:t>
            </w:r>
            <w:r w:rsidRPr="0018355A">
              <w:rPr>
                <w:rFonts w:asciiTheme="minorHAnsi" w:hAnsiTheme="minorHAnsi" w:cstheme="minorBidi"/>
              </w:rPr>
              <w:t xml:space="preserve"> otherwise noted, all assignments are due by 11:59 p.m. (Central Time) on the specified due date. </w:t>
            </w:r>
            <w:r w:rsidR="005452DD">
              <w:rPr>
                <w:rFonts w:asciiTheme="minorHAnsi" w:hAnsiTheme="minorHAnsi" w:cstheme="minorBidi"/>
              </w:rPr>
              <w:t>B</w:t>
            </w:r>
            <w:r w:rsidRPr="0018355A">
              <w:rPr>
                <w:rFonts w:asciiTheme="minorHAnsi" w:hAnsiTheme="minorHAnsi" w:cstheme="minorBidi"/>
              </w:rPr>
              <w:t>e sure the time zone for your user account is </w:t>
            </w:r>
            <w:hyperlink r:id="rId12" w:tgtFrame="_blank" w:history="1">
              <w:r w:rsidRPr="0018355A">
                <w:rPr>
                  <w:rFonts w:asciiTheme="minorHAnsi" w:hAnsiTheme="minorHAnsi" w:cstheme="minorBidi"/>
                  <w:color w:val="0070C0"/>
                </w:rPr>
                <w:t>set to your own time zone</w:t>
              </w:r>
            </w:hyperlink>
            <w:r w:rsidRPr="0018355A">
              <w:rPr>
                <w:rFonts w:asciiTheme="minorHAnsi" w:hAnsiTheme="minorHAnsi" w:cstheme="minorBidi"/>
              </w:rPr>
              <w:t>.</w:t>
            </w:r>
            <w:r>
              <w:rPr>
                <w:rFonts w:asciiTheme="minorHAnsi" w:hAnsiTheme="minorHAnsi" w:cstheme="minorBidi"/>
              </w:rPr>
              <w:t>” Adjust the listed time zone as needed.</w:t>
            </w:r>
          </w:p>
          <w:p w14:paraId="15B56C74" w14:textId="77777777" w:rsidR="0018355A" w:rsidRDefault="0018355A" w:rsidP="0018355A">
            <w:pPr>
              <w:pStyle w:val="ListParagraph"/>
              <w:numPr>
                <w:ilvl w:val="0"/>
                <w:numId w:val="2"/>
              </w:numPr>
            </w:pPr>
            <w:r w:rsidRPr="0018355A">
              <w:rPr>
                <w:u w:val="single"/>
              </w:rPr>
              <w:t>Visible to Faculty Only Note</w:t>
            </w:r>
            <w:r>
              <w:t>: Delete the note that begins “Note, if you are reviewing this course in the production environment…”</w:t>
            </w:r>
          </w:p>
          <w:p w14:paraId="6C0E5D14" w14:textId="24503935" w:rsidR="0018355A" w:rsidRPr="009A7D84" w:rsidRDefault="0018355A" w:rsidP="0018355A">
            <w:pPr>
              <w:pStyle w:val="ListParagraph"/>
              <w:numPr>
                <w:ilvl w:val="0"/>
                <w:numId w:val="2"/>
              </w:numPr>
            </w:pPr>
            <w:r w:rsidRPr="0018355A">
              <w:rPr>
                <w:u w:val="single"/>
              </w:rPr>
              <w:t>Readings</w:t>
            </w:r>
            <w:r>
              <w:t xml:space="preserve">: </w:t>
            </w:r>
            <w:r w:rsidRPr="0018355A">
              <w:t>Above</w:t>
            </w:r>
            <w:r>
              <w:t xml:space="preserve"> the Assignments Summary, add a </w:t>
            </w:r>
            <w:r w:rsidR="00E41B54">
              <w:t>“</w:t>
            </w:r>
            <w:r>
              <w:t>Readings</w:t>
            </w:r>
            <w:r w:rsidR="00E41B54">
              <w:t>”</w:t>
            </w:r>
            <w:r>
              <w:t xml:space="preserve"> section and recreate the listed readings in a table format. Link to </w:t>
            </w:r>
            <w:r w:rsidRPr="009A7D84">
              <w:t>each Reading page.</w:t>
            </w:r>
            <w:r w:rsidR="00E41B54" w:rsidRPr="009A7D84">
              <w:t xml:space="preserve"> </w:t>
            </w:r>
            <w:r w:rsidR="004E0A9D" w:rsidRPr="009A7D84">
              <w:t xml:space="preserve">See </w:t>
            </w:r>
            <w:r w:rsidR="00A5428E">
              <w:t>The Cap Ed Template</w:t>
            </w:r>
            <w:r w:rsidR="00E41B54" w:rsidRPr="009A7D84">
              <w:t xml:space="preserve"> for an example.</w:t>
            </w:r>
            <w:r w:rsidR="00E61146" w:rsidRPr="009A7D84">
              <w:t xml:space="preserve"> </w:t>
            </w:r>
            <w:r w:rsidR="004E0A9D" w:rsidRPr="009A7D84">
              <w:t>If possible, style the Readings table to look like the Assignments Summary table (i.e., no vertical borders; light-gray horizontal borders</w:t>
            </w:r>
            <w:r w:rsidR="003D4EEA" w:rsidRPr="009A7D84">
              <w:t>)</w:t>
            </w:r>
            <w:r w:rsidR="004E0A9D" w:rsidRPr="009A7D84">
              <w:t>.</w:t>
            </w:r>
          </w:p>
          <w:p w14:paraId="7E15B848" w14:textId="77777777" w:rsidR="0018355A" w:rsidRDefault="0018355A" w:rsidP="0018355A"/>
        </w:tc>
      </w:tr>
      <w:tr w:rsidR="0018355A" w:rsidRPr="00B50613" w14:paraId="39020501" w14:textId="77777777" w:rsidTr="00155D32">
        <w:tc>
          <w:tcPr>
            <w:tcW w:w="2157" w:type="dxa"/>
          </w:tcPr>
          <w:p w14:paraId="481112A8" w14:textId="77777777" w:rsidR="0018355A" w:rsidRPr="00B50613" w:rsidRDefault="00004E1C" w:rsidP="00155D32">
            <w:r w:rsidRPr="00B50613">
              <w:lastRenderedPageBreak/>
              <w:t>Course Policies</w:t>
            </w:r>
            <w:r w:rsidR="00E41B54" w:rsidRPr="00B50613">
              <w:t xml:space="preserve"> Page</w:t>
            </w:r>
          </w:p>
        </w:tc>
        <w:tc>
          <w:tcPr>
            <w:tcW w:w="2158" w:type="dxa"/>
          </w:tcPr>
          <w:p w14:paraId="520583E8" w14:textId="77777777" w:rsidR="0018355A" w:rsidRPr="00B50613" w:rsidRDefault="00004E1C" w:rsidP="00155D32">
            <w:r w:rsidRPr="00B50613">
              <w:t>Course Policies</w:t>
            </w:r>
          </w:p>
        </w:tc>
        <w:tc>
          <w:tcPr>
            <w:tcW w:w="10075" w:type="dxa"/>
          </w:tcPr>
          <w:p w14:paraId="38A2430F" w14:textId="77777777" w:rsidR="0018355A" w:rsidRPr="00B50613" w:rsidRDefault="00004E1C" w:rsidP="0018355A">
            <w:r w:rsidRPr="00B50613">
              <w:t>Transfer all Course Policies content from Edge, with the following exceptions:</w:t>
            </w:r>
          </w:p>
          <w:p w14:paraId="4896518C" w14:textId="1219F12E" w:rsidR="00D8341F" w:rsidRPr="00D8341F" w:rsidRDefault="00D8341F" w:rsidP="00004E1C">
            <w:pPr>
              <w:pStyle w:val="ListParagraph"/>
              <w:numPr>
                <w:ilvl w:val="0"/>
                <w:numId w:val="3"/>
              </w:numPr>
            </w:pPr>
            <w:r>
              <w:rPr>
                <w:u w:val="single"/>
              </w:rPr>
              <w:t>Expectations</w:t>
            </w:r>
            <w:r>
              <w:t>: Delete the “Expectations” header.</w:t>
            </w:r>
          </w:p>
          <w:p w14:paraId="43F35FE1" w14:textId="28831A57" w:rsidR="00004E1C" w:rsidRPr="00B50613" w:rsidRDefault="00004E1C" w:rsidP="00004E1C">
            <w:pPr>
              <w:pStyle w:val="ListParagraph"/>
              <w:numPr>
                <w:ilvl w:val="0"/>
                <w:numId w:val="3"/>
              </w:numPr>
            </w:pPr>
            <w:r w:rsidRPr="00B50613">
              <w:rPr>
                <w:u w:val="single"/>
              </w:rPr>
              <w:t>Timing</w:t>
            </w:r>
            <w:r w:rsidRPr="00B50613">
              <w:t>: Delete the Timing header and text.</w:t>
            </w:r>
          </w:p>
          <w:p w14:paraId="6AB214E0" w14:textId="08462DCF" w:rsidR="00004E1C" w:rsidRDefault="00004E1C" w:rsidP="00004E1C">
            <w:pPr>
              <w:pStyle w:val="ListParagraph"/>
              <w:numPr>
                <w:ilvl w:val="0"/>
                <w:numId w:val="3"/>
              </w:numPr>
            </w:pPr>
            <w:r w:rsidRPr="00A9040F">
              <w:rPr>
                <w:u w:val="single"/>
              </w:rPr>
              <w:t>Due Dates</w:t>
            </w:r>
            <w:r w:rsidRPr="00A9040F">
              <w:t>: Delete the Due Dates header and text.</w:t>
            </w:r>
          </w:p>
          <w:p w14:paraId="0758053E" w14:textId="3D61D065" w:rsidR="00D8341F" w:rsidRDefault="00D8341F" w:rsidP="00004E1C">
            <w:pPr>
              <w:pStyle w:val="ListParagraph"/>
              <w:numPr>
                <w:ilvl w:val="0"/>
                <w:numId w:val="3"/>
              </w:numPr>
            </w:pPr>
            <w:r>
              <w:rPr>
                <w:u w:val="single"/>
              </w:rPr>
              <w:t>Prerequisites</w:t>
            </w:r>
            <w:r>
              <w:t>: Promote the “Prerequisites” header (if present) to Header 2.</w:t>
            </w:r>
          </w:p>
          <w:p w14:paraId="6C849AC4" w14:textId="32CE65B2" w:rsidR="00D8341F" w:rsidRPr="00A9040F" w:rsidRDefault="00D8341F" w:rsidP="00D8341F">
            <w:pPr>
              <w:pStyle w:val="ListParagraph"/>
              <w:numPr>
                <w:ilvl w:val="0"/>
                <w:numId w:val="3"/>
              </w:numPr>
            </w:pPr>
            <w:r>
              <w:rPr>
                <w:u w:val="single"/>
              </w:rPr>
              <w:t>Participation</w:t>
            </w:r>
            <w:r>
              <w:t>: If the participation section begins with the boilerplate line “</w:t>
            </w:r>
            <w:r w:rsidRPr="00D8341F">
              <w:t>Information sharing is extremely valuable in any learning experience</w:t>
            </w:r>
            <w:r>
              <w:t>,” delete the Participation section. (We’ll recreate it in the Orientation course.) But if the Participation section looks course-specific, leave it as is.</w:t>
            </w:r>
          </w:p>
          <w:p w14:paraId="4D574DA8" w14:textId="77F2A77E" w:rsidR="00CE3DB8" w:rsidRPr="00A9040F" w:rsidRDefault="00CE3DB8" w:rsidP="00CE3DB8">
            <w:pPr>
              <w:pStyle w:val="ListParagraph"/>
              <w:numPr>
                <w:ilvl w:val="0"/>
                <w:numId w:val="3"/>
              </w:numPr>
            </w:pPr>
            <w:r w:rsidRPr="00A9040F">
              <w:rPr>
                <w:u w:val="single"/>
              </w:rPr>
              <w:t>Assessment Criteria</w:t>
            </w:r>
            <w:r w:rsidRPr="00A9040F">
              <w:t>: If this section starts with a paragraph that begins, “In this course, your faculty member will assess whether…”, change the paragraph to this: “In this course, your faculty member will assess whether your work demonstrates that you have mastered the learning outcomes. For most units, you will complete one or more assignments. For each assignment, you will receive a numerical grade. Each assignment grade will in turn contribute to your final course grade, which will be one of the following:”</w:t>
            </w:r>
          </w:p>
          <w:p w14:paraId="7EE8834C" w14:textId="4D3A6146" w:rsidR="00004E1C" w:rsidRPr="00B50613" w:rsidRDefault="00004E1C" w:rsidP="0030649D">
            <w:pPr>
              <w:pStyle w:val="ListParagraph"/>
              <w:numPr>
                <w:ilvl w:val="0"/>
                <w:numId w:val="3"/>
              </w:numPr>
            </w:pPr>
            <w:r w:rsidRPr="00A9040F">
              <w:rPr>
                <w:u w:val="single"/>
              </w:rPr>
              <w:t>School-wide Policies</w:t>
            </w:r>
            <w:r w:rsidRPr="00A9040F">
              <w:t>: Delete</w:t>
            </w:r>
            <w:r w:rsidRPr="00B50613">
              <w:t xml:space="preserve"> generic, school-wide content such as Code of Conduct.</w:t>
            </w:r>
            <w:r w:rsidR="00112468" w:rsidRPr="00B50613">
              <w:t xml:space="preserve"> Instead, </w:t>
            </w:r>
            <w:r w:rsidR="00072354" w:rsidRPr="00B50613">
              <w:t xml:space="preserve">add this content </w:t>
            </w:r>
            <w:r w:rsidR="00112468" w:rsidRPr="00B50613">
              <w:t>to the appropriate page of the school’s orientation</w:t>
            </w:r>
            <w:r w:rsidR="00072354" w:rsidRPr="00B50613">
              <w:t xml:space="preserve"> and link to that page</w:t>
            </w:r>
            <w:r w:rsidR="00112468" w:rsidRPr="00B50613">
              <w:t xml:space="preserve">. </w:t>
            </w:r>
            <w:r w:rsidR="00A5428E">
              <w:t xml:space="preserve">(If no school-specific orientation exists yet, create a placeholder.) </w:t>
            </w:r>
            <w:r w:rsidR="0030649D">
              <w:t xml:space="preserve">Do the same for department-wide content. </w:t>
            </w:r>
            <w:r w:rsidR="00112468" w:rsidRPr="00B50613">
              <w:t xml:space="preserve">See </w:t>
            </w:r>
            <w:r w:rsidR="00A5428E">
              <w:t>the Cap Ed Template</w:t>
            </w:r>
            <w:r w:rsidR="00112468" w:rsidRPr="00B50613">
              <w:t xml:space="preserve"> for an example</w:t>
            </w:r>
            <w:r w:rsidR="00A5428E">
              <w:t xml:space="preserve"> of how to format this</w:t>
            </w:r>
            <w:r w:rsidR="00112468" w:rsidRPr="00B50613">
              <w:t>.</w:t>
            </w:r>
            <w:r w:rsidR="00A5428E">
              <w:t xml:space="preserve"> </w:t>
            </w:r>
          </w:p>
        </w:tc>
      </w:tr>
    </w:tbl>
    <w:p w14:paraId="1D86BDB9" w14:textId="77777777" w:rsidR="000A0498" w:rsidRPr="00B50613" w:rsidRDefault="00615C97" w:rsidP="00615C97">
      <w:pPr>
        <w:pStyle w:val="Heading2"/>
      </w:pPr>
      <w:r w:rsidRPr="00B50613">
        <w:lastRenderedPageBreak/>
        <w:t>Resources</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615C97" w:rsidRPr="00B50613" w14:paraId="5EB64A36" w14:textId="77777777" w:rsidTr="00155D32">
        <w:trPr>
          <w:tblHeader/>
        </w:trPr>
        <w:tc>
          <w:tcPr>
            <w:tcW w:w="2157" w:type="dxa"/>
          </w:tcPr>
          <w:p w14:paraId="55292B30" w14:textId="77777777" w:rsidR="00615C97" w:rsidRPr="00B50613" w:rsidRDefault="00615C97" w:rsidP="00155D32">
            <w:pPr>
              <w:rPr>
                <w:b/>
              </w:rPr>
            </w:pPr>
            <w:r w:rsidRPr="00B50613">
              <w:rPr>
                <w:b/>
              </w:rPr>
              <w:t>EDGE Element</w:t>
            </w:r>
          </w:p>
        </w:tc>
        <w:tc>
          <w:tcPr>
            <w:tcW w:w="2158" w:type="dxa"/>
          </w:tcPr>
          <w:p w14:paraId="276AA722" w14:textId="77777777" w:rsidR="00615C97" w:rsidRPr="00B50613" w:rsidRDefault="00615C97" w:rsidP="00155D32">
            <w:pPr>
              <w:rPr>
                <w:b/>
              </w:rPr>
            </w:pPr>
            <w:r w:rsidRPr="00B50613">
              <w:rPr>
                <w:b/>
              </w:rPr>
              <w:t>Canvas Element</w:t>
            </w:r>
          </w:p>
        </w:tc>
        <w:tc>
          <w:tcPr>
            <w:tcW w:w="10075" w:type="dxa"/>
          </w:tcPr>
          <w:p w14:paraId="419A7CE6" w14:textId="77777777" w:rsidR="00615C97" w:rsidRPr="00B50613" w:rsidRDefault="00615C97" w:rsidP="00155D32">
            <w:pPr>
              <w:rPr>
                <w:b/>
              </w:rPr>
            </w:pPr>
            <w:r w:rsidRPr="00B50613">
              <w:rPr>
                <w:b/>
              </w:rPr>
              <w:t>Conversion Notes</w:t>
            </w:r>
          </w:p>
        </w:tc>
      </w:tr>
      <w:tr w:rsidR="00615C97" w14:paraId="3229AF76" w14:textId="77777777" w:rsidTr="00155D32">
        <w:tc>
          <w:tcPr>
            <w:tcW w:w="2157" w:type="dxa"/>
          </w:tcPr>
          <w:p w14:paraId="1249DE79" w14:textId="77777777" w:rsidR="00615C97" w:rsidRPr="00B50613" w:rsidRDefault="00DE0323" w:rsidP="00DE0323">
            <w:r w:rsidRPr="00B50613">
              <w:t>Additional Pages/Nodes Beneath the Syllabus</w:t>
            </w:r>
          </w:p>
        </w:tc>
        <w:tc>
          <w:tcPr>
            <w:tcW w:w="2158" w:type="dxa"/>
          </w:tcPr>
          <w:p w14:paraId="36E88E2A" w14:textId="77777777" w:rsidR="00615C97" w:rsidRPr="00B50613" w:rsidRDefault="00DE0323" w:rsidP="00155D32">
            <w:r w:rsidRPr="00B50613">
              <w:t>Resources</w:t>
            </w:r>
          </w:p>
        </w:tc>
        <w:tc>
          <w:tcPr>
            <w:tcW w:w="10075" w:type="dxa"/>
          </w:tcPr>
          <w:p w14:paraId="12A2C2AB" w14:textId="77777777" w:rsidR="00615C97" w:rsidRPr="00B50613" w:rsidRDefault="00DE0323" w:rsidP="00DE0323">
            <w:r w:rsidRPr="00B50613">
              <w:t>If the EDGE course has additional pages/nodes between the Syllabus and Unit 1</w:t>
            </w:r>
            <w:r w:rsidR="00575DB6" w:rsidRPr="00B50613">
              <w:t xml:space="preserve"> (a.k.a. Week 1 or Module 1)</w:t>
            </w:r>
            <w:r w:rsidRPr="00B50613">
              <w:t>, transfer them to a Resources module beneath the Orientation module</w:t>
            </w:r>
            <w:r w:rsidR="00796517" w:rsidRPr="00B50613">
              <w:t xml:space="preserve"> in Canvas</w:t>
            </w:r>
            <w:r w:rsidRPr="00B50613">
              <w:t>. If there are no additional pages/nodes before Unit 1, do not create a Resources module.</w:t>
            </w:r>
          </w:p>
          <w:p w14:paraId="0912D2B2" w14:textId="77777777" w:rsidR="00DE0323" w:rsidRPr="00B50613" w:rsidRDefault="00DE0323" w:rsidP="00DE0323"/>
        </w:tc>
      </w:tr>
    </w:tbl>
    <w:p w14:paraId="043D0F92" w14:textId="77777777" w:rsidR="00615C97" w:rsidRDefault="00A57186" w:rsidP="00A57186">
      <w:pPr>
        <w:pStyle w:val="Heading2"/>
      </w:pPr>
      <w:r>
        <w:t>Readings</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A57186" w:rsidRPr="00DA133F" w14:paraId="43B576B1" w14:textId="77777777" w:rsidTr="00155D32">
        <w:trPr>
          <w:tblHeader/>
        </w:trPr>
        <w:tc>
          <w:tcPr>
            <w:tcW w:w="2157" w:type="dxa"/>
          </w:tcPr>
          <w:p w14:paraId="358B1561" w14:textId="77777777" w:rsidR="00A57186" w:rsidRPr="00DA133F" w:rsidRDefault="00A57186" w:rsidP="00155D32">
            <w:pPr>
              <w:rPr>
                <w:b/>
              </w:rPr>
            </w:pPr>
            <w:r w:rsidRPr="00DA133F">
              <w:rPr>
                <w:b/>
              </w:rPr>
              <w:t>EDGE Element</w:t>
            </w:r>
          </w:p>
        </w:tc>
        <w:tc>
          <w:tcPr>
            <w:tcW w:w="2158" w:type="dxa"/>
          </w:tcPr>
          <w:p w14:paraId="33BFECB3" w14:textId="77777777" w:rsidR="00A57186" w:rsidRPr="00DA133F" w:rsidRDefault="00A57186" w:rsidP="00155D32">
            <w:pPr>
              <w:rPr>
                <w:b/>
              </w:rPr>
            </w:pPr>
            <w:r w:rsidRPr="00DA133F">
              <w:rPr>
                <w:b/>
              </w:rPr>
              <w:t>Canvas Element</w:t>
            </w:r>
          </w:p>
        </w:tc>
        <w:tc>
          <w:tcPr>
            <w:tcW w:w="10075" w:type="dxa"/>
          </w:tcPr>
          <w:p w14:paraId="64E86D49" w14:textId="77777777" w:rsidR="00A57186" w:rsidRPr="00DA133F" w:rsidRDefault="00A57186" w:rsidP="00155D32">
            <w:pPr>
              <w:rPr>
                <w:b/>
              </w:rPr>
            </w:pPr>
            <w:r w:rsidRPr="00DA133F">
              <w:rPr>
                <w:b/>
              </w:rPr>
              <w:t>Conversion Notes</w:t>
            </w:r>
          </w:p>
        </w:tc>
      </w:tr>
      <w:tr w:rsidR="00A57186" w14:paraId="77DF9E84" w14:textId="77777777" w:rsidTr="00155D32">
        <w:tc>
          <w:tcPr>
            <w:tcW w:w="2157" w:type="dxa"/>
          </w:tcPr>
          <w:p w14:paraId="239730BB" w14:textId="77777777" w:rsidR="00A57186" w:rsidRPr="000A0498" w:rsidRDefault="00A57186" w:rsidP="00155D32">
            <w:r>
              <w:t>Reading Pages</w:t>
            </w:r>
          </w:p>
        </w:tc>
        <w:tc>
          <w:tcPr>
            <w:tcW w:w="2158" w:type="dxa"/>
          </w:tcPr>
          <w:p w14:paraId="7A3533E5" w14:textId="77777777" w:rsidR="00A57186" w:rsidRPr="000A0498" w:rsidRDefault="00A57186" w:rsidP="00155D32">
            <w:r>
              <w:t>Reading Pages</w:t>
            </w:r>
          </w:p>
        </w:tc>
        <w:tc>
          <w:tcPr>
            <w:tcW w:w="10075" w:type="dxa"/>
          </w:tcPr>
          <w:p w14:paraId="6614E0B5" w14:textId="77777777" w:rsidR="00A57186" w:rsidRDefault="00A57186" w:rsidP="00155D32">
            <w:r>
              <w:t>Transfer all Reading content from EDGE, with the following exception:</w:t>
            </w:r>
          </w:p>
          <w:p w14:paraId="49FD7E28" w14:textId="77777777" w:rsidR="00A57186" w:rsidRPr="00CE3DB8" w:rsidRDefault="00A57186" w:rsidP="00A57186">
            <w:pPr>
              <w:pStyle w:val="ListParagraph"/>
              <w:numPr>
                <w:ilvl w:val="0"/>
                <w:numId w:val="4"/>
              </w:numPr>
            </w:pPr>
            <w:r>
              <w:rPr>
                <w:u w:val="single"/>
              </w:rPr>
              <w:t>Participation Notes</w:t>
            </w:r>
            <w:r>
              <w:t xml:space="preserve">: </w:t>
            </w:r>
            <w:r w:rsidRPr="00CE3DB8">
              <w:t>Delete notes that begin “Remember, participation in class discussions…”</w:t>
            </w:r>
          </w:p>
          <w:p w14:paraId="1CDDAEC8" w14:textId="77777777" w:rsidR="00304DAB" w:rsidRPr="00CE3DB8" w:rsidRDefault="00094483" w:rsidP="00A57186">
            <w:pPr>
              <w:pStyle w:val="ListParagraph"/>
              <w:numPr>
                <w:ilvl w:val="0"/>
                <w:numId w:val="4"/>
              </w:numPr>
            </w:pPr>
            <w:r w:rsidRPr="00CE3DB8">
              <w:rPr>
                <w:u w:val="single"/>
              </w:rPr>
              <w:t>Begin T</w:t>
            </w:r>
            <w:r w:rsidR="004E0A9D" w:rsidRPr="00CE3DB8">
              <w:rPr>
                <w:u w:val="single"/>
              </w:rPr>
              <w:t>his Unit:</w:t>
            </w:r>
            <w:r w:rsidR="004E0A9D" w:rsidRPr="00CE3DB8">
              <w:t xml:space="preserve"> If a reading page has an Introduction, delete the “Begin this unit…” note</w:t>
            </w:r>
            <w:r w:rsidR="002C4160" w:rsidRPr="00CE3DB8">
              <w:t xml:space="preserve"> (and be sure an “Introduction” header is present)</w:t>
            </w:r>
            <w:r w:rsidR="004E0A9D" w:rsidRPr="00CE3DB8">
              <w:t xml:space="preserve">. If a course does </w:t>
            </w:r>
            <w:r w:rsidR="00E7102E" w:rsidRPr="00CE3DB8">
              <w:t>NOT</w:t>
            </w:r>
            <w:r w:rsidR="004E0A9D" w:rsidRPr="00CE3DB8">
              <w:t xml:space="preserve"> have an Introduction, keep the “Begin this unit…” note.</w:t>
            </w:r>
          </w:p>
          <w:p w14:paraId="7F86F7DC" w14:textId="77777777" w:rsidR="00A57186" w:rsidRDefault="00A57186" w:rsidP="00A57186"/>
        </w:tc>
      </w:tr>
    </w:tbl>
    <w:p w14:paraId="58D127DC" w14:textId="77777777" w:rsidR="00A57186" w:rsidRDefault="00A57186" w:rsidP="00A57186">
      <w:pPr>
        <w:pStyle w:val="Heading2"/>
      </w:pPr>
      <w:r>
        <w:t>Assignments</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DF0ADF" w:rsidRPr="00DA133F" w14:paraId="3C387A4E" w14:textId="77777777" w:rsidTr="00155D32">
        <w:trPr>
          <w:tblHeader/>
        </w:trPr>
        <w:tc>
          <w:tcPr>
            <w:tcW w:w="2157" w:type="dxa"/>
          </w:tcPr>
          <w:p w14:paraId="6AF31124" w14:textId="77777777" w:rsidR="00DF0ADF" w:rsidRPr="00DA133F" w:rsidRDefault="00DF0ADF" w:rsidP="00155D32">
            <w:pPr>
              <w:rPr>
                <w:b/>
              </w:rPr>
            </w:pPr>
            <w:r w:rsidRPr="00DA133F">
              <w:rPr>
                <w:b/>
              </w:rPr>
              <w:t>EDGE Element</w:t>
            </w:r>
          </w:p>
        </w:tc>
        <w:tc>
          <w:tcPr>
            <w:tcW w:w="2158" w:type="dxa"/>
          </w:tcPr>
          <w:p w14:paraId="09E57357" w14:textId="77777777" w:rsidR="00DF0ADF" w:rsidRPr="00DA133F" w:rsidRDefault="00DF0ADF" w:rsidP="00155D32">
            <w:pPr>
              <w:rPr>
                <w:b/>
              </w:rPr>
            </w:pPr>
            <w:r w:rsidRPr="00DA133F">
              <w:rPr>
                <w:b/>
              </w:rPr>
              <w:t>Canvas Element</w:t>
            </w:r>
          </w:p>
        </w:tc>
        <w:tc>
          <w:tcPr>
            <w:tcW w:w="10075" w:type="dxa"/>
          </w:tcPr>
          <w:p w14:paraId="42867B64" w14:textId="77777777" w:rsidR="00DF0ADF" w:rsidRPr="00DA133F" w:rsidRDefault="00DF0ADF" w:rsidP="00155D32">
            <w:pPr>
              <w:rPr>
                <w:b/>
              </w:rPr>
            </w:pPr>
            <w:r w:rsidRPr="00DA133F">
              <w:rPr>
                <w:b/>
              </w:rPr>
              <w:t>Conversion Notes</w:t>
            </w:r>
          </w:p>
        </w:tc>
      </w:tr>
      <w:tr w:rsidR="00DF0ADF" w14:paraId="50AC5095" w14:textId="77777777" w:rsidTr="00155D32">
        <w:tc>
          <w:tcPr>
            <w:tcW w:w="2157" w:type="dxa"/>
          </w:tcPr>
          <w:p w14:paraId="5DB8C70B" w14:textId="77777777" w:rsidR="00DF0ADF" w:rsidRPr="000A0498" w:rsidRDefault="00DF0ADF" w:rsidP="00155D32">
            <w:r>
              <w:t>Assignment Pages (general)</w:t>
            </w:r>
          </w:p>
        </w:tc>
        <w:tc>
          <w:tcPr>
            <w:tcW w:w="2158" w:type="dxa"/>
          </w:tcPr>
          <w:p w14:paraId="14B8E07E" w14:textId="77777777" w:rsidR="00DF0ADF" w:rsidRPr="000A0498" w:rsidRDefault="00DF0ADF" w:rsidP="00155D32">
            <w:r>
              <w:t>Assignment Pages (general)</w:t>
            </w:r>
          </w:p>
        </w:tc>
        <w:tc>
          <w:tcPr>
            <w:tcW w:w="10075" w:type="dxa"/>
          </w:tcPr>
          <w:p w14:paraId="1389000B" w14:textId="77777777" w:rsidR="00DF0ADF" w:rsidRPr="004B2C5F" w:rsidRDefault="00DF0ADF" w:rsidP="00155D32">
            <w:r>
              <w:t xml:space="preserve">Transfer all Assignment content </w:t>
            </w:r>
            <w:r w:rsidRPr="004B2C5F">
              <w:t>from EDGE, with the following exceptions:</w:t>
            </w:r>
          </w:p>
          <w:p w14:paraId="09D3574D" w14:textId="77777777" w:rsidR="000431E9" w:rsidRPr="004B2C5F" w:rsidRDefault="000431E9" w:rsidP="00DF0ADF">
            <w:pPr>
              <w:pStyle w:val="ListParagraph"/>
              <w:numPr>
                <w:ilvl w:val="0"/>
                <w:numId w:val="4"/>
              </w:numPr>
            </w:pPr>
            <w:r w:rsidRPr="004B2C5F">
              <w:rPr>
                <w:u w:val="single"/>
              </w:rPr>
              <w:t>Titles</w:t>
            </w:r>
            <w:r w:rsidRPr="004B2C5F">
              <w:t>: Do not transfer the “Overview” tag at the end of each assignment title on the Course Map.</w:t>
            </w:r>
          </w:p>
          <w:p w14:paraId="0BC8EC62" w14:textId="3979DDBE" w:rsidR="00DF0ADF" w:rsidRDefault="00DF0ADF" w:rsidP="00DF0ADF">
            <w:pPr>
              <w:pStyle w:val="ListParagraph"/>
              <w:numPr>
                <w:ilvl w:val="0"/>
                <w:numId w:val="4"/>
              </w:numPr>
            </w:pPr>
            <w:r w:rsidRPr="004B2C5F">
              <w:rPr>
                <w:u w:val="single"/>
              </w:rPr>
              <w:t>Learning Outcomes Notes</w:t>
            </w:r>
            <w:r w:rsidRPr="004B2C5F">
              <w:t>: Delete notes that</w:t>
            </w:r>
            <w:r>
              <w:t xml:space="preserve"> begin </w:t>
            </w:r>
            <w:r w:rsidR="0057796B">
              <w:t xml:space="preserve">with </w:t>
            </w:r>
            <w:r>
              <w:t>“</w:t>
            </w:r>
            <w:r w:rsidRPr="00DF0ADF">
              <w:t>What will you learn from this assignment?</w:t>
            </w:r>
            <w:r>
              <w:t>”</w:t>
            </w:r>
          </w:p>
          <w:p w14:paraId="01ABFADE" w14:textId="4427C724" w:rsidR="0057796B" w:rsidRDefault="0057796B" w:rsidP="0057796B">
            <w:pPr>
              <w:pStyle w:val="ListParagraph"/>
              <w:numPr>
                <w:ilvl w:val="0"/>
                <w:numId w:val="4"/>
              </w:numPr>
            </w:pPr>
            <w:r>
              <w:rPr>
                <w:u w:val="single"/>
              </w:rPr>
              <w:t>File</w:t>
            </w:r>
            <w:r w:rsidRPr="0057796B">
              <w:rPr>
                <w:u w:val="single"/>
              </w:rPr>
              <w:t>-naming Conventions</w:t>
            </w:r>
            <w:r>
              <w:t>: Delete notes that begin with “</w:t>
            </w:r>
            <w:r w:rsidRPr="0057796B">
              <w:t>Before sending a document to your faculty member</w:t>
            </w:r>
            <w:r>
              <w:t xml:space="preserve">…” </w:t>
            </w:r>
          </w:p>
          <w:p w14:paraId="3621230D" w14:textId="77777777" w:rsidR="00462D3A" w:rsidRDefault="00462D3A" w:rsidP="00DF0ADF">
            <w:pPr>
              <w:pStyle w:val="ListParagraph"/>
              <w:numPr>
                <w:ilvl w:val="0"/>
                <w:numId w:val="4"/>
              </w:numPr>
            </w:pPr>
            <w:r>
              <w:rPr>
                <w:u w:val="single"/>
              </w:rPr>
              <w:t>Grade Objects</w:t>
            </w:r>
            <w:r>
              <w:t xml:space="preserve">: Do not transfer over submission forms that look like this: </w:t>
            </w:r>
          </w:p>
          <w:p w14:paraId="304A6D16" w14:textId="77777777" w:rsidR="00462D3A" w:rsidRDefault="00462D3A" w:rsidP="00462D3A">
            <w:pPr>
              <w:jc w:val="center"/>
            </w:pPr>
            <w:r>
              <w:object w:dxaOrig="10215" w:dyaOrig="4725" w14:anchorId="67838CA3">
                <v:shape id="_x0000_i1028" type="#_x0000_t75" style="width:250pt;height:115.8pt" o:ole="">
                  <v:imagedata r:id="rId13" o:title=""/>
                </v:shape>
                <o:OLEObject Type="Embed" ProgID="PBrush" ShapeID="_x0000_i1028" DrawAspect="Content" ObjectID="_1540374085" r:id="rId14"/>
              </w:object>
            </w:r>
          </w:p>
          <w:p w14:paraId="3247A3C9" w14:textId="21F5D04C" w:rsidR="00DF0ADF" w:rsidRDefault="008B4702" w:rsidP="008B4702">
            <w:pPr>
              <w:pStyle w:val="ListParagraph"/>
              <w:numPr>
                <w:ilvl w:val="0"/>
                <w:numId w:val="8"/>
              </w:numPr>
            </w:pPr>
            <w:r>
              <w:rPr>
                <w:u w:val="single"/>
              </w:rPr>
              <w:t>Submission Form References</w:t>
            </w:r>
            <w:r>
              <w:t>: Delete references to the submission form.</w:t>
            </w:r>
            <w:r w:rsidR="00A61D83">
              <w:t xml:space="preserve"> (E.g.,</w:t>
            </w:r>
            <w:r>
              <w:t xml:space="preserve"> change “After you submit your paper using the form below…” to “After you submit your paper…”)</w:t>
            </w:r>
          </w:p>
          <w:p w14:paraId="6E44A549" w14:textId="77FEF73F" w:rsidR="0057796B" w:rsidRDefault="0057796B" w:rsidP="008B4702">
            <w:pPr>
              <w:pStyle w:val="ListParagraph"/>
              <w:numPr>
                <w:ilvl w:val="0"/>
                <w:numId w:val="8"/>
              </w:numPr>
            </w:pPr>
            <w:proofErr w:type="spellStart"/>
            <w:r>
              <w:rPr>
                <w:u w:val="single"/>
              </w:rPr>
              <w:t>Turnitin</w:t>
            </w:r>
            <w:proofErr w:type="spellEnd"/>
            <w:r>
              <w:t xml:space="preserve">: Configure assignments to be submitted through </w:t>
            </w:r>
            <w:proofErr w:type="spellStart"/>
            <w:r>
              <w:t>Turnitin</w:t>
            </w:r>
            <w:proofErr w:type="spellEnd"/>
            <w:r>
              <w:t xml:space="preserve"> via the “</w:t>
            </w:r>
            <w:r w:rsidR="00685B2E">
              <w:t>E</w:t>
            </w:r>
            <w:r>
              <w:t xml:space="preserve">xternal </w:t>
            </w:r>
            <w:r w:rsidR="00685B2E">
              <w:t>T</w:t>
            </w:r>
            <w:r>
              <w:t>ool” submission option.</w:t>
            </w:r>
          </w:p>
          <w:p w14:paraId="016311BE" w14:textId="77777777" w:rsidR="008B4702" w:rsidRDefault="008B4702" w:rsidP="008B4702"/>
        </w:tc>
      </w:tr>
      <w:tr w:rsidR="00520A0A" w14:paraId="3EB22DE4" w14:textId="77777777" w:rsidTr="00155D32">
        <w:tc>
          <w:tcPr>
            <w:tcW w:w="2157" w:type="dxa"/>
          </w:tcPr>
          <w:p w14:paraId="7D9C448F" w14:textId="77777777" w:rsidR="00520A0A" w:rsidRPr="004B2C5F" w:rsidRDefault="00520A0A" w:rsidP="00155D32">
            <w:r w:rsidRPr="004B2C5F">
              <w:lastRenderedPageBreak/>
              <w:t>Grade Weights</w:t>
            </w:r>
          </w:p>
        </w:tc>
        <w:tc>
          <w:tcPr>
            <w:tcW w:w="2158" w:type="dxa"/>
          </w:tcPr>
          <w:p w14:paraId="6EFF24D9" w14:textId="50A21CAC" w:rsidR="00520A0A" w:rsidRPr="004B2C5F" w:rsidRDefault="00CE3DB8" w:rsidP="00155D32">
            <w:r w:rsidRPr="004B2C5F">
              <w:t>Points</w:t>
            </w:r>
          </w:p>
          <w:p w14:paraId="4D357F42" w14:textId="77777777" w:rsidR="00520A0A" w:rsidRPr="004B2C5F" w:rsidRDefault="00520A0A" w:rsidP="00155D32"/>
        </w:tc>
        <w:tc>
          <w:tcPr>
            <w:tcW w:w="10075" w:type="dxa"/>
          </w:tcPr>
          <w:p w14:paraId="3BF76B7B" w14:textId="33BD6C62" w:rsidR="00CE3DB8" w:rsidRPr="004B2C5F" w:rsidRDefault="00CE3DB8" w:rsidP="00DF0ADF">
            <w:r w:rsidRPr="004B2C5F">
              <w:t>To get the appropriate point value for each assignment, take the Grade Weight percentage from EDGE and multiply that value by 10.</w:t>
            </w:r>
            <w:r w:rsidR="009D0584" w:rsidRPr="004B2C5F">
              <w:t xml:space="preserve"> </w:t>
            </w:r>
            <w:r w:rsidRPr="004B2C5F">
              <w:t xml:space="preserve">For example, if an assignment was worth </w:t>
            </w:r>
            <w:r w:rsidR="009D0584" w:rsidRPr="004B2C5F">
              <w:t>3% in EDGE, the assignment should be worth 30 points in Canvas.</w:t>
            </w:r>
          </w:p>
          <w:p w14:paraId="414FDD26" w14:textId="2FE3CA9B" w:rsidR="009D0584" w:rsidRPr="004B2C5F" w:rsidRDefault="009D0584" w:rsidP="00DF0ADF"/>
          <w:p w14:paraId="50E060F1" w14:textId="2B070B0E" w:rsidR="009D0584" w:rsidRPr="004B2C5F" w:rsidRDefault="009D0584" w:rsidP="00DF0ADF">
            <w:r w:rsidRPr="004B2C5F">
              <w:t>For quizzes, divide the total points allotted to the assignment by the number of questions, and assign each question the resulting value. For example, if a quiz with 10 questions was worth 2% in EDGE, the quiz should be worth 20 points total in Canvas, with each question being worth 2 points individually.</w:t>
            </w:r>
          </w:p>
          <w:p w14:paraId="5273C750" w14:textId="77777777" w:rsidR="00520A0A" w:rsidRPr="004B2C5F" w:rsidRDefault="00520A0A" w:rsidP="009D0584"/>
        </w:tc>
      </w:tr>
      <w:tr w:rsidR="00E7102E" w14:paraId="535511CB" w14:textId="77777777" w:rsidTr="004B2C5F">
        <w:tc>
          <w:tcPr>
            <w:tcW w:w="2157" w:type="dxa"/>
            <w:shd w:val="clear" w:color="auto" w:fill="auto"/>
          </w:tcPr>
          <w:p w14:paraId="549757E6" w14:textId="0EA4327A" w:rsidR="00E7102E" w:rsidRPr="004B2C5F" w:rsidRDefault="003A16C0" w:rsidP="00CE3DB8">
            <w:r w:rsidRPr="004B2C5F">
              <w:t xml:space="preserve">References to </w:t>
            </w:r>
            <w:r w:rsidR="00CE3DB8" w:rsidRPr="004B2C5F">
              <w:t>Reading</w:t>
            </w:r>
            <w:r w:rsidRPr="004B2C5F">
              <w:t xml:space="preserve"> Pages</w:t>
            </w:r>
          </w:p>
        </w:tc>
        <w:tc>
          <w:tcPr>
            <w:tcW w:w="2158" w:type="dxa"/>
            <w:shd w:val="clear" w:color="auto" w:fill="auto"/>
          </w:tcPr>
          <w:p w14:paraId="4D13E4C0" w14:textId="4F40FD69" w:rsidR="00E7102E" w:rsidRPr="004B2C5F" w:rsidRDefault="003A16C0" w:rsidP="00CE3DB8">
            <w:r w:rsidRPr="004B2C5F">
              <w:t xml:space="preserve">References to </w:t>
            </w:r>
            <w:r w:rsidR="00CE3DB8" w:rsidRPr="004B2C5F">
              <w:t>Reading</w:t>
            </w:r>
            <w:r w:rsidRPr="004B2C5F">
              <w:t xml:space="preserve"> Pages</w:t>
            </w:r>
          </w:p>
        </w:tc>
        <w:tc>
          <w:tcPr>
            <w:tcW w:w="10075" w:type="dxa"/>
            <w:shd w:val="clear" w:color="auto" w:fill="auto"/>
          </w:tcPr>
          <w:p w14:paraId="0F3B7D8F" w14:textId="77777777" w:rsidR="00E7102E" w:rsidRPr="004B2C5F" w:rsidRDefault="00E7102E" w:rsidP="00E7102E">
            <w:r w:rsidRPr="004B2C5F">
              <w:t xml:space="preserve">If the instructions reference the assigned readings for </w:t>
            </w:r>
            <w:r w:rsidR="004A4303" w:rsidRPr="004B2C5F">
              <w:t>the current</w:t>
            </w:r>
            <w:r w:rsidRPr="004B2C5F">
              <w:t xml:space="preserve"> unit, link to the appropriate Reading page.</w:t>
            </w:r>
            <w:r w:rsidR="003A16C0" w:rsidRPr="004B2C5F">
              <w:t xml:space="preserve"> For example: </w:t>
            </w:r>
            <w:r w:rsidRPr="004B2C5F">
              <w:t xml:space="preserve">“Complete the assigned </w:t>
            </w:r>
            <w:hyperlink r:id="rId15" w:history="1">
              <w:r w:rsidRPr="004B2C5F">
                <w:rPr>
                  <w:rStyle w:val="Hyperlink"/>
                </w:rPr>
                <w:t>readings</w:t>
              </w:r>
            </w:hyperlink>
            <w:r w:rsidRPr="004B2C5F">
              <w:t xml:space="preserve"> for this unit.</w:t>
            </w:r>
            <w:r w:rsidR="003A16C0" w:rsidRPr="004B2C5F">
              <w:t>”</w:t>
            </w:r>
          </w:p>
          <w:p w14:paraId="24BF20AB" w14:textId="262EE339" w:rsidR="00E7102E" w:rsidRPr="004B2C5F" w:rsidRDefault="00E7102E" w:rsidP="00CE3DB8"/>
        </w:tc>
      </w:tr>
      <w:tr w:rsidR="002C4160" w14:paraId="0EDCD7E9" w14:textId="77777777" w:rsidTr="00155D32">
        <w:tc>
          <w:tcPr>
            <w:tcW w:w="2157" w:type="dxa"/>
          </w:tcPr>
          <w:p w14:paraId="01987224" w14:textId="77777777" w:rsidR="002C4160" w:rsidRPr="00CE3DB8" w:rsidRDefault="002C4160" w:rsidP="00155D32">
            <w:r w:rsidRPr="00CE3DB8">
              <w:t>Submission Instructions</w:t>
            </w:r>
          </w:p>
        </w:tc>
        <w:tc>
          <w:tcPr>
            <w:tcW w:w="2158" w:type="dxa"/>
          </w:tcPr>
          <w:p w14:paraId="505F76F0" w14:textId="77777777" w:rsidR="002C4160" w:rsidRPr="00CE3DB8" w:rsidRDefault="002C4160" w:rsidP="00155D32">
            <w:r w:rsidRPr="00CE3DB8">
              <w:t>Submission Instructions</w:t>
            </w:r>
          </w:p>
          <w:p w14:paraId="7962C74D" w14:textId="77777777" w:rsidR="002C4160" w:rsidRPr="00CE3DB8" w:rsidRDefault="002C4160" w:rsidP="00155D32"/>
        </w:tc>
        <w:tc>
          <w:tcPr>
            <w:tcW w:w="10075" w:type="dxa"/>
          </w:tcPr>
          <w:p w14:paraId="5D84D2C7" w14:textId="421D0076" w:rsidR="002C4160" w:rsidRPr="00CE3DB8" w:rsidRDefault="002C4160" w:rsidP="00DF0ADF">
            <w:r w:rsidRPr="00CE3DB8">
              <w:t xml:space="preserve">For assignment pages that require students to submit a file, add the following as </w:t>
            </w:r>
            <w:r w:rsidR="00192A38" w:rsidRPr="00CE3DB8">
              <w:t>a</w:t>
            </w:r>
            <w:r w:rsidRPr="00CE3DB8">
              <w:t xml:space="preserve"> final step:</w:t>
            </w:r>
          </w:p>
          <w:p w14:paraId="4B96F53C" w14:textId="77777777" w:rsidR="002C4160" w:rsidRPr="00CE3DB8" w:rsidRDefault="002C4160" w:rsidP="00DF0ADF"/>
          <w:p w14:paraId="794AC992" w14:textId="77777777" w:rsidR="002C4160" w:rsidRPr="00CE3DB8" w:rsidRDefault="002C4160" w:rsidP="00DF0ADF">
            <w:r w:rsidRPr="00CE3DB8">
              <w:t>Turn in your work by selecting Submit Assignment.</w:t>
            </w:r>
          </w:p>
          <w:p w14:paraId="4523F0E2" w14:textId="77777777" w:rsidR="002C4160" w:rsidRPr="00CE3DB8" w:rsidRDefault="002C4160" w:rsidP="00DF0ADF"/>
        </w:tc>
      </w:tr>
      <w:tr w:rsidR="00DF0ADF" w14:paraId="06A6DD5F" w14:textId="77777777" w:rsidTr="00155D32">
        <w:tc>
          <w:tcPr>
            <w:tcW w:w="2157" w:type="dxa"/>
          </w:tcPr>
          <w:p w14:paraId="4953B5E6" w14:textId="77777777" w:rsidR="00DF0ADF" w:rsidRPr="004A4303" w:rsidRDefault="00DF0ADF" w:rsidP="00155D32">
            <w:r w:rsidRPr="004A4303">
              <w:t>Materials</w:t>
            </w:r>
          </w:p>
        </w:tc>
        <w:tc>
          <w:tcPr>
            <w:tcW w:w="2158" w:type="dxa"/>
          </w:tcPr>
          <w:p w14:paraId="2B76117F" w14:textId="77777777" w:rsidR="00DF0ADF" w:rsidRPr="004A4303" w:rsidRDefault="00DF0ADF" w:rsidP="00155D32">
            <w:r w:rsidRPr="004A4303">
              <w:t>N/A</w:t>
            </w:r>
          </w:p>
        </w:tc>
        <w:tc>
          <w:tcPr>
            <w:tcW w:w="10075" w:type="dxa"/>
          </w:tcPr>
          <w:p w14:paraId="6B89FFEA" w14:textId="3A662627" w:rsidR="00462D3A" w:rsidRPr="004A4303" w:rsidRDefault="00DF0ADF" w:rsidP="00DF0ADF">
            <w:r w:rsidRPr="004A4303">
              <w:t>Don’t transfer the Materials section (if any).</w:t>
            </w:r>
            <w:r w:rsidR="00462D3A" w:rsidRPr="004A4303">
              <w:t xml:space="preserve"> Instead, link to each material within the instructions. Delete any references to “in Materials below” and adjust the text as necessary.</w:t>
            </w:r>
            <w:r w:rsidR="00575DB6" w:rsidRPr="004A4303">
              <w:t xml:space="preserve"> See </w:t>
            </w:r>
            <w:r w:rsidR="00A5428E">
              <w:t>The Cap Ed Template</w:t>
            </w:r>
            <w:r w:rsidR="00575DB6" w:rsidRPr="004A4303">
              <w:t xml:space="preserve"> for examples.</w:t>
            </w:r>
          </w:p>
          <w:p w14:paraId="282B987D" w14:textId="77777777" w:rsidR="00462D3A" w:rsidRPr="004A4303" w:rsidRDefault="00462D3A" w:rsidP="00DF0ADF"/>
          <w:p w14:paraId="2B85BD37" w14:textId="77777777" w:rsidR="00462D3A" w:rsidRPr="004A4303" w:rsidRDefault="00462D3A" w:rsidP="00DF0ADF">
            <w:r w:rsidRPr="004A4303">
              <w:t>For example, if the original instructions said…</w:t>
            </w:r>
          </w:p>
          <w:p w14:paraId="44B8BD99" w14:textId="77777777" w:rsidR="00462D3A" w:rsidRPr="004A4303" w:rsidRDefault="00462D3A" w:rsidP="00DF0ADF"/>
          <w:p w14:paraId="7E4E6F85" w14:textId="77777777" w:rsidR="00462D3A" w:rsidRPr="004A4303" w:rsidRDefault="00462D3A" w:rsidP="00462D3A">
            <w:pPr>
              <w:pStyle w:val="ListParagraph"/>
              <w:numPr>
                <w:ilvl w:val="0"/>
                <w:numId w:val="5"/>
              </w:numPr>
            </w:pPr>
            <w:r w:rsidRPr="004A4303">
              <w:t>Complete the assigned readings for this unit and review the resources in Materials below.</w:t>
            </w:r>
          </w:p>
          <w:p w14:paraId="22193276" w14:textId="77777777" w:rsidR="00462D3A" w:rsidRPr="004A4303" w:rsidRDefault="00462D3A" w:rsidP="00462D3A"/>
          <w:p w14:paraId="3BB19722" w14:textId="77777777" w:rsidR="00462D3A" w:rsidRPr="004A4303" w:rsidRDefault="00462D3A" w:rsidP="00462D3A">
            <w:r w:rsidRPr="004A4303">
              <w:t>…then you should change the text to…</w:t>
            </w:r>
          </w:p>
          <w:p w14:paraId="26FFCB05" w14:textId="77777777" w:rsidR="00462D3A" w:rsidRPr="004A4303" w:rsidRDefault="00462D3A" w:rsidP="00462D3A"/>
          <w:p w14:paraId="3E1C4639" w14:textId="77777777" w:rsidR="00462D3A" w:rsidRPr="004A4303" w:rsidRDefault="00462D3A" w:rsidP="00462D3A">
            <w:pPr>
              <w:pStyle w:val="ListParagraph"/>
              <w:numPr>
                <w:ilvl w:val="0"/>
                <w:numId w:val="6"/>
              </w:numPr>
            </w:pPr>
            <w:r w:rsidRPr="004A4303">
              <w:t>Complete the assigned readings for this unit and review the following:</w:t>
            </w:r>
          </w:p>
          <w:p w14:paraId="5DBED684" w14:textId="77777777" w:rsidR="00462D3A" w:rsidRPr="004A4303" w:rsidRDefault="00462D3A" w:rsidP="00462D3A">
            <w:pPr>
              <w:pStyle w:val="ListParagraph"/>
              <w:numPr>
                <w:ilvl w:val="1"/>
                <w:numId w:val="6"/>
              </w:numPr>
            </w:pPr>
            <w:r w:rsidRPr="004A4303">
              <w:t>[Material 1]</w:t>
            </w:r>
          </w:p>
          <w:p w14:paraId="7D386FAC" w14:textId="77777777" w:rsidR="00462D3A" w:rsidRPr="004A4303" w:rsidRDefault="00462D3A" w:rsidP="00462D3A">
            <w:pPr>
              <w:pStyle w:val="ListParagraph"/>
              <w:numPr>
                <w:ilvl w:val="1"/>
                <w:numId w:val="6"/>
              </w:numPr>
            </w:pPr>
            <w:r w:rsidRPr="004A4303">
              <w:t>[Material 2]</w:t>
            </w:r>
          </w:p>
          <w:p w14:paraId="792124FF" w14:textId="77777777" w:rsidR="00DF0ADF" w:rsidRPr="004A4303" w:rsidRDefault="00462D3A" w:rsidP="00DF0ADF">
            <w:pPr>
              <w:pStyle w:val="ListParagraph"/>
              <w:numPr>
                <w:ilvl w:val="1"/>
                <w:numId w:val="6"/>
              </w:numPr>
            </w:pPr>
            <w:r w:rsidRPr="004A4303">
              <w:t>[etc.]</w:t>
            </w:r>
          </w:p>
          <w:p w14:paraId="0795533C" w14:textId="77777777" w:rsidR="00462D3A" w:rsidRPr="004A4303" w:rsidRDefault="00462D3A" w:rsidP="00DF0ADF"/>
        </w:tc>
      </w:tr>
      <w:tr w:rsidR="00394C56" w14:paraId="6F0AA0A2" w14:textId="77777777" w:rsidTr="001D6E25">
        <w:tc>
          <w:tcPr>
            <w:tcW w:w="2157" w:type="dxa"/>
          </w:tcPr>
          <w:p w14:paraId="165EE44F" w14:textId="77777777" w:rsidR="00394C56" w:rsidRPr="002C4160" w:rsidRDefault="00394C56" w:rsidP="001D6E25">
            <w:r w:rsidRPr="002C4160">
              <w:t>Peer Reviews</w:t>
            </w:r>
          </w:p>
        </w:tc>
        <w:tc>
          <w:tcPr>
            <w:tcW w:w="2158" w:type="dxa"/>
          </w:tcPr>
          <w:p w14:paraId="51697819" w14:textId="77777777" w:rsidR="00394C56" w:rsidRPr="002C4160" w:rsidRDefault="00394C56" w:rsidP="001D6E25">
            <w:r w:rsidRPr="002C4160">
              <w:t>Peer Reviews</w:t>
            </w:r>
          </w:p>
        </w:tc>
        <w:tc>
          <w:tcPr>
            <w:tcW w:w="10075" w:type="dxa"/>
          </w:tcPr>
          <w:p w14:paraId="56314946" w14:textId="77777777" w:rsidR="00394C56" w:rsidRDefault="00394C56" w:rsidP="001D6E25">
            <w:r w:rsidRPr="002C4160">
              <w:t>In EDGE, if an assignment has a peer-review component, adjust the instructions as necessary to map to Canvas’s Peer Review settings. Default to “Manually Assign Peer Reviews.”</w:t>
            </w:r>
          </w:p>
          <w:p w14:paraId="3BD4D560" w14:textId="77777777" w:rsidR="00394C56" w:rsidRPr="002C4160" w:rsidRDefault="00394C56" w:rsidP="001D6E25"/>
        </w:tc>
      </w:tr>
      <w:tr w:rsidR="00C21588" w14:paraId="56810D0E" w14:textId="77777777" w:rsidTr="00155D32">
        <w:tc>
          <w:tcPr>
            <w:tcW w:w="2157" w:type="dxa"/>
          </w:tcPr>
          <w:p w14:paraId="15D7147B" w14:textId="77777777" w:rsidR="00C21588" w:rsidRPr="002C4160" w:rsidRDefault="00C21588" w:rsidP="00155D32">
            <w:r w:rsidRPr="002C4160">
              <w:t>Team Assignments</w:t>
            </w:r>
          </w:p>
        </w:tc>
        <w:tc>
          <w:tcPr>
            <w:tcW w:w="2158" w:type="dxa"/>
          </w:tcPr>
          <w:p w14:paraId="773975E4" w14:textId="77777777" w:rsidR="00C21588" w:rsidRPr="002C4160" w:rsidRDefault="002D22C5" w:rsidP="00155D32">
            <w:r w:rsidRPr="002C4160">
              <w:t>Group Assignments</w:t>
            </w:r>
          </w:p>
        </w:tc>
        <w:tc>
          <w:tcPr>
            <w:tcW w:w="10075" w:type="dxa"/>
          </w:tcPr>
          <w:p w14:paraId="726CA968" w14:textId="77777777" w:rsidR="002D22C5" w:rsidRPr="002C4160" w:rsidRDefault="002D22C5" w:rsidP="002D22C5">
            <w:r w:rsidRPr="002C4160">
              <w:t xml:space="preserve">In EDGE, if an assignment is scoped as a “Team” assignment, adjust the instructions as necessary to map to Canvas’s Group settings. Default </w:t>
            </w:r>
            <w:r w:rsidR="00645F4A" w:rsidRPr="00645F4A">
              <w:t>the Group Assignment settings</w:t>
            </w:r>
            <w:r w:rsidR="00645F4A">
              <w:t xml:space="preserve"> </w:t>
            </w:r>
            <w:r w:rsidRPr="002C4160">
              <w:t xml:space="preserve">to “I’ll create groups manually.” Change references to </w:t>
            </w:r>
            <w:r w:rsidR="00094483" w:rsidRPr="002C4160">
              <w:t xml:space="preserve">the </w:t>
            </w:r>
            <w:r w:rsidRPr="002C4160">
              <w:t>“Team Room in Course Social Centers” to the “Discussions and Collaborations links.”</w:t>
            </w:r>
          </w:p>
          <w:p w14:paraId="4DABE51B" w14:textId="77777777" w:rsidR="00C21588" w:rsidRPr="002C4160" w:rsidRDefault="002D22C5" w:rsidP="002D22C5">
            <w:r w:rsidRPr="002C4160">
              <w:t xml:space="preserve">  </w:t>
            </w:r>
          </w:p>
        </w:tc>
      </w:tr>
    </w:tbl>
    <w:p w14:paraId="34CB7468" w14:textId="32FCFD89" w:rsidR="00394C56" w:rsidRDefault="00394C56" w:rsidP="00300071">
      <w:pPr>
        <w:pStyle w:val="Heading2"/>
      </w:pPr>
      <w:r>
        <w:lastRenderedPageBreak/>
        <w:t>Discussions</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394C56" w:rsidRPr="009D0584" w14:paraId="31AE21E4" w14:textId="77777777" w:rsidTr="001D6E25">
        <w:tc>
          <w:tcPr>
            <w:tcW w:w="2157" w:type="dxa"/>
          </w:tcPr>
          <w:p w14:paraId="7D161457" w14:textId="4ACCF837" w:rsidR="00394C56" w:rsidRDefault="00394C56" w:rsidP="001D6E25">
            <w:r>
              <w:t>Discussion Pages (general)</w:t>
            </w:r>
          </w:p>
        </w:tc>
        <w:tc>
          <w:tcPr>
            <w:tcW w:w="2158" w:type="dxa"/>
          </w:tcPr>
          <w:p w14:paraId="53174D5B" w14:textId="5C1DFF39" w:rsidR="00394C56" w:rsidRDefault="00394C56" w:rsidP="001D6E25">
            <w:r>
              <w:t>Discussion Pages (general)</w:t>
            </w:r>
          </w:p>
        </w:tc>
        <w:tc>
          <w:tcPr>
            <w:tcW w:w="10075" w:type="dxa"/>
          </w:tcPr>
          <w:p w14:paraId="3FFF90B9" w14:textId="77777777" w:rsidR="00394C56" w:rsidRPr="009D0584" w:rsidRDefault="00394C56" w:rsidP="001D6E25">
            <w:r w:rsidRPr="009D0584">
              <w:t>By default, the Student Settings for discussions should allow students to</w:t>
            </w:r>
          </w:p>
          <w:p w14:paraId="4A5FDBED" w14:textId="77777777" w:rsidR="00394C56" w:rsidRPr="009D0584" w:rsidRDefault="00394C56" w:rsidP="001D6E25">
            <w:pPr>
              <w:pStyle w:val="ListParagraph"/>
              <w:numPr>
                <w:ilvl w:val="0"/>
                <w:numId w:val="12"/>
              </w:numPr>
            </w:pPr>
            <w:r w:rsidRPr="009D0584">
              <w:t>Create discussion topics</w:t>
            </w:r>
          </w:p>
          <w:p w14:paraId="5A850151" w14:textId="77777777" w:rsidR="00394C56" w:rsidRPr="009D0584" w:rsidRDefault="00394C56" w:rsidP="001D6E25">
            <w:pPr>
              <w:pStyle w:val="ListParagraph"/>
              <w:numPr>
                <w:ilvl w:val="0"/>
                <w:numId w:val="12"/>
              </w:numPr>
            </w:pPr>
            <w:r w:rsidRPr="009D0584">
              <w:t>Edit and delete their own posts</w:t>
            </w:r>
          </w:p>
          <w:p w14:paraId="3B9061AF" w14:textId="77777777" w:rsidR="00394C56" w:rsidRPr="009D0584" w:rsidRDefault="00394C56" w:rsidP="001D6E25">
            <w:pPr>
              <w:pStyle w:val="ListParagraph"/>
              <w:numPr>
                <w:ilvl w:val="0"/>
                <w:numId w:val="12"/>
              </w:numPr>
            </w:pPr>
            <w:r w:rsidRPr="009D0584">
              <w:t>Attach files to discussions</w:t>
            </w:r>
          </w:p>
          <w:p w14:paraId="2D004793" w14:textId="77777777" w:rsidR="00394C56" w:rsidRPr="009D0584" w:rsidRDefault="00394C56" w:rsidP="001D6E25"/>
          <w:p w14:paraId="7EC69370" w14:textId="77777777" w:rsidR="00394C56" w:rsidRPr="009D0584" w:rsidRDefault="00394C56" w:rsidP="001D6E25">
            <w:r w:rsidRPr="009D0584">
              <w:t>Individual discussions should have “Allow threaded replies” and “Allow liking” checked by default.</w:t>
            </w:r>
          </w:p>
          <w:p w14:paraId="2EB35AC6" w14:textId="10E99E03" w:rsidR="00394C56" w:rsidRPr="009D0584" w:rsidRDefault="00394C56" w:rsidP="00394C56"/>
        </w:tc>
      </w:tr>
      <w:tr w:rsidR="00394C56" w:rsidRPr="009D0584" w14:paraId="7B4B74F3" w14:textId="77777777" w:rsidTr="001D6E25">
        <w:tc>
          <w:tcPr>
            <w:tcW w:w="2157" w:type="dxa"/>
          </w:tcPr>
          <w:p w14:paraId="0BAA802C" w14:textId="51AC16BA" w:rsidR="00394C56" w:rsidRDefault="00394C56" w:rsidP="001D6E25">
            <w:r>
              <w:t>Dates</w:t>
            </w:r>
          </w:p>
        </w:tc>
        <w:tc>
          <w:tcPr>
            <w:tcW w:w="2158" w:type="dxa"/>
          </w:tcPr>
          <w:p w14:paraId="2703D8E0" w14:textId="7DA7F070" w:rsidR="00394C56" w:rsidRDefault="00394C56" w:rsidP="001D6E25">
            <w:r>
              <w:t>Dates</w:t>
            </w:r>
          </w:p>
        </w:tc>
        <w:tc>
          <w:tcPr>
            <w:tcW w:w="10075" w:type="dxa"/>
          </w:tcPr>
          <w:p w14:paraId="2EBFEC27" w14:textId="77777777" w:rsidR="00394C56" w:rsidRPr="009D0584" w:rsidRDefault="00394C56" w:rsidP="00394C56">
            <w:r w:rsidRPr="009D0584">
              <w:t>If the instructions in EDGE mention specific dates, delete the calendar portion (i.e., month / day of the month) of those dates and adjust the wording so that it references only the day of the week.</w:t>
            </w:r>
          </w:p>
          <w:p w14:paraId="13D36A90" w14:textId="77777777" w:rsidR="00394C56" w:rsidRPr="009D0584" w:rsidRDefault="00394C56" w:rsidP="00394C56"/>
          <w:p w14:paraId="30ABDA59" w14:textId="77777777" w:rsidR="00394C56" w:rsidRPr="009D0584" w:rsidRDefault="00394C56" w:rsidP="00394C56">
            <w:r w:rsidRPr="009D0584">
              <w:t>For example, if the instructions say…</w:t>
            </w:r>
          </w:p>
          <w:p w14:paraId="4BE45F79" w14:textId="77777777" w:rsidR="00394C56" w:rsidRPr="009D0584" w:rsidRDefault="00394C56" w:rsidP="00394C56"/>
          <w:p w14:paraId="132F8851" w14:textId="77777777" w:rsidR="00394C56" w:rsidRPr="009D0584" w:rsidRDefault="00394C56" w:rsidP="00394C56">
            <w:pPr>
              <w:pStyle w:val="ListParagraph"/>
              <w:numPr>
                <w:ilvl w:val="0"/>
                <w:numId w:val="15"/>
              </w:numPr>
            </w:pPr>
            <w:r w:rsidRPr="009D0584">
              <w:t>By Monday, January 1, in a post to the discussion below, respond to the following:</w:t>
            </w:r>
          </w:p>
          <w:p w14:paraId="218D395C" w14:textId="77777777" w:rsidR="00394C56" w:rsidRPr="009D0584" w:rsidRDefault="00394C56" w:rsidP="00394C56"/>
          <w:p w14:paraId="41DE3F29" w14:textId="77777777" w:rsidR="00394C56" w:rsidRPr="009D0584" w:rsidRDefault="00394C56" w:rsidP="00394C56">
            <w:r w:rsidRPr="009D0584">
              <w:t>… change the instructions to…</w:t>
            </w:r>
          </w:p>
          <w:p w14:paraId="0629DF57" w14:textId="77777777" w:rsidR="00394C56" w:rsidRPr="009D0584" w:rsidRDefault="00394C56" w:rsidP="00394C56"/>
          <w:p w14:paraId="0F69BF1C" w14:textId="77777777" w:rsidR="00394C56" w:rsidRPr="009D0584" w:rsidRDefault="00394C56" w:rsidP="00394C56">
            <w:pPr>
              <w:pStyle w:val="ListParagraph"/>
              <w:numPr>
                <w:ilvl w:val="0"/>
                <w:numId w:val="7"/>
              </w:numPr>
            </w:pPr>
            <w:r w:rsidRPr="009D0584">
              <w:t>By Monday of this week, in a post to the discussion below, respond to the following:</w:t>
            </w:r>
          </w:p>
          <w:p w14:paraId="59A3C863" w14:textId="77777777" w:rsidR="00394C56" w:rsidRPr="009D0584" w:rsidRDefault="00394C56" w:rsidP="001D6E25"/>
        </w:tc>
      </w:tr>
      <w:tr w:rsidR="00394C56" w14:paraId="310D13D0" w14:textId="77777777" w:rsidTr="001D6E25">
        <w:tc>
          <w:tcPr>
            <w:tcW w:w="2157" w:type="dxa"/>
          </w:tcPr>
          <w:p w14:paraId="65197426" w14:textId="77777777" w:rsidR="00394C56" w:rsidRDefault="00394C56" w:rsidP="001D6E25">
            <w:r>
              <w:t>Hybrid Paper/Discussion Assignments</w:t>
            </w:r>
          </w:p>
          <w:p w14:paraId="1C89B5CA" w14:textId="77777777" w:rsidR="00394C56" w:rsidRPr="0084660C" w:rsidRDefault="00394C56" w:rsidP="001D6E25"/>
        </w:tc>
        <w:tc>
          <w:tcPr>
            <w:tcW w:w="2158" w:type="dxa"/>
          </w:tcPr>
          <w:p w14:paraId="6A0FD402" w14:textId="77777777" w:rsidR="00394C56" w:rsidRPr="0084660C" w:rsidRDefault="00394C56" w:rsidP="001D6E25">
            <w:r w:rsidRPr="0084660C">
              <w:t>N/A</w:t>
            </w:r>
          </w:p>
        </w:tc>
        <w:tc>
          <w:tcPr>
            <w:tcW w:w="10075" w:type="dxa"/>
          </w:tcPr>
          <w:p w14:paraId="7C453175" w14:textId="77777777" w:rsidR="00394C56" w:rsidRPr="009D0584" w:rsidRDefault="00394C56" w:rsidP="001D6E25">
            <w:r w:rsidRPr="009D0584">
              <w:t>If an assignment in EDGE includes both a discussion and a paper submission component, use a discussion page in Canvas to create the assignment. (Students will attach their paper in a discussion post.)</w:t>
            </w:r>
          </w:p>
          <w:p w14:paraId="05874274" w14:textId="77777777" w:rsidR="00394C56" w:rsidRPr="009D0584" w:rsidRDefault="00394C56" w:rsidP="001D6E25"/>
        </w:tc>
      </w:tr>
    </w:tbl>
    <w:p w14:paraId="7CA6803C" w14:textId="5E36F53E" w:rsidR="009D0584" w:rsidRDefault="009D0584" w:rsidP="00300071">
      <w:pPr>
        <w:pStyle w:val="Heading2"/>
      </w:pPr>
      <w:r>
        <w:t>Quizzes</w:t>
      </w:r>
      <w:r w:rsidR="00394C56">
        <w:t>/Exams</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9D0584" w:rsidRPr="009D0584" w14:paraId="361FB8AE" w14:textId="77777777" w:rsidTr="001D6E25">
        <w:tc>
          <w:tcPr>
            <w:tcW w:w="2157" w:type="dxa"/>
          </w:tcPr>
          <w:p w14:paraId="3F0DC3E4" w14:textId="115980CF" w:rsidR="009D0584" w:rsidRPr="005B70AF" w:rsidRDefault="009D0584" w:rsidP="001D6E25">
            <w:r w:rsidRPr="005B70AF">
              <w:t>Quizzes/Exams</w:t>
            </w:r>
            <w:r w:rsidR="00394C56">
              <w:t xml:space="preserve"> (general)</w:t>
            </w:r>
          </w:p>
        </w:tc>
        <w:tc>
          <w:tcPr>
            <w:tcW w:w="2158" w:type="dxa"/>
          </w:tcPr>
          <w:p w14:paraId="0E20D647" w14:textId="4751CA2E" w:rsidR="009D0584" w:rsidRPr="005B70AF" w:rsidRDefault="009D0584" w:rsidP="001D6E25">
            <w:r w:rsidRPr="005B70AF">
              <w:t>Quizzes</w:t>
            </w:r>
            <w:r w:rsidR="00394C56">
              <w:t xml:space="preserve"> (general)</w:t>
            </w:r>
          </w:p>
          <w:p w14:paraId="1CC90A1B" w14:textId="77777777" w:rsidR="009D0584" w:rsidRPr="005B70AF" w:rsidRDefault="009D0584" w:rsidP="001D6E25"/>
        </w:tc>
        <w:tc>
          <w:tcPr>
            <w:tcW w:w="10075" w:type="dxa"/>
          </w:tcPr>
          <w:p w14:paraId="67957D01" w14:textId="77777777" w:rsidR="009D0584" w:rsidRPr="009D0584" w:rsidRDefault="009D0584" w:rsidP="001D6E25">
            <w:r w:rsidRPr="009D0584">
              <w:t>If possible, delete the default “Instructions” header that appears in Student View in Canvas. If that’s not possible, delete the “Your Assignment” header.</w:t>
            </w:r>
          </w:p>
          <w:p w14:paraId="6CE98F57" w14:textId="77777777" w:rsidR="009D0584" w:rsidRPr="009D0584" w:rsidRDefault="009D0584" w:rsidP="001D6E25"/>
          <w:p w14:paraId="572CDFBC" w14:textId="77777777" w:rsidR="009D0584" w:rsidRPr="009D0584" w:rsidRDefault="009D0584" w:rsidP="001D6E25">
            <w:r w:rsidRPr="009D0584">
              <w:t xml:space="preserve">In the Steps, change instructions like “Launch the quiz/exam by clicking the link in Materials below” to “Launch the quiz by selecting Take the Quiz.” Also change instructions like “Answer all the questions in the quiz and click Grade Quiz” to “Answer all the questions in the quiz and select Submit Quiz.” </w:t>
            </w:r>
          </w:p>
          <w:p w14:paraId="6F90151F" w14:textId="77777777" w:rsidR="009D0584" w:rsidRPr="009D0584" w:rsidRDefault="009D0584" w:rsidP="001D6E25"/>
          <w:p w14:paraId="058740B3" w14:textId="2B110D83" w:rsidR="009D0584" w:rsidRPr="009D0584" w:rsidRDefault="009D0584" w:rsidP="001D6E25">
            <w:r w:rsidRPr="009D0584">
              <w:t>By default, quizzes/exams should show one question at a time. Retain the other default quiz settings.</w:t>
            </w:r>
          </w:p>
          <w:p w14:paraId="30C9BF03" w14:textId="77777777" w:rsidR="009D0584" w:rsidRPr="009D0584" w:rsidRDefault="009D0584" w:rsidP="001D6E25"/>
          <w:p w14:paraId="46B1A178" w14:textId="77777777" w:rsidR="009D0584" w:rsidRPr="009D0584" w:rsidRDefault="009D0584" w:rsidP="001D6E25">
            <w:r w:rsidRPr="009D0584">
              <w:t>Some quizzes/exams pull from a question pool. Check for this in the source file (available via Downloads in EDGE). We used an authoring tool called Respondus to create most of our quizzes.</w:t>
            </w:r>
          </w:p>
          <w:p w14:paraId="39BA2B66" w14:textId="72E35BEB" w:rsidR="009D0584" w:rsidRPr="009D0584" w:rsidRDefault="009D0584" w:rsidP="00394C56"/>
        </w:tc>
      </w:tr>
      <w:tr w:rsidR="00394C56" w:rsidRPr="009D0584" w14:paraId="5CDE12C0" w14:textId="77777777" w:rsidTr="001D6E25">
        <w:tc>
          <w:tcPr>
            <w:tcW w:w="2157" w:type="dxa"/>
          </w:tcPr>
          <w:p w14:paraId="78DFF9CE" w14:textId="1175247C" w:rsidR="00394C56" w:rsidRPr="005B70AF" w:rsidRDefault="00394C56" w:rsidP="001D6E25">
            <w:r>
              <w:t>External quizzes</w:t>
            </w:r>
          </w:p>
        </w:tc>
        <w:tc>
          <w:tcPr>
            <w:tcW w:w="2158" w:type="dxa"/>
          </w:tcPr>
          <w:p w14:paraId="437F5131" w14:textId="39C41C85" w:rsidR="00394C56" w:rsidRPr="005B70AF" w:rsidRDefault="00394C56" w:rsidP="001D6E25">
            <w:r>
              <w:t>N/A</w:t>
            </w:r>
          </w:p>
        </w:tc>
        <w:tc>
          <w:tcPr>
            <w:tcW w:w="10075" w:type="dxa"/>
          </w:tcPr>
          <w:p w14:paraId="56B2F55D" w14:textId="59D23C05" w:rsidR="00394C56" w:rsidRPr="009D0584" w:rsidRDefault="00394C56" w:rsidP="00394C56">
            <w:r>
              <w:t>Some quizzes have</w:t>
            </w:r>
            <w:r w:rsidRPr="009D0584">
              <w:t xml:space="preserve"> specific constraints (such as timing) </w:t>
            </w:r>
            <w:r>
              <w:t xml:space="preserve">and </w:t>
            </w:r>
            <w:r w:rsidRPr="009D0584">
              <w:t xml:space="preserve">are </w:t>
            </w:r>
            <w:r>
              <w:t xml:space="preserve">currently </w:t>
            </w:r>
            <w:r w:rsidRPr="009D0584">
              <w:t xml:space="preserve">hosted externally on </w:t>
            </w:r>
            <w:r>
              <w:t xml:space="preserve">third-party sites like </w:t>
            </w:r>
            <w:r w:rsidRPr="009D0584">
              <w:t>Test.com. Replicate these constraints in Canvas. We will provide you access to Test.com.</w:t>
            </w:r>
          </w:p>
          <w:p w14:paraId="065A9A4C" w14:textId="6A122F71" w:rsidR="00394C56" w:rsidRPr="009D0584" w:rsidRDefault="00394C56" w:rsidP="001D6E25"/>
        </w:tc>
      </w:tr>
      <w:tr w:rsidR="00394C56" w:rsidRPr="009D0584" w14:paraId="06AAEBE7" w14:textId="77777777" w:rsidTr="001D6E25">
        <w:tc>
          <w:tcPr>
            <w:tcW w:w="2157" w:type="dxa"/>
          </w:tcPr>
          <w:p w14:paraId="27101B17" w14:textId="7BA15E81" w:rsidR="00394C56" w:rsidRDefault="00394C56" w:rsidP="001D6E25">
            <w:r>
              <w:lastRenderedPageBreak/>
              <w:t>Materials</w:t>
            </w:r>
          </w:p>
        </w:tc>
        <w:tc>
          <w:tcPr>
            <w:tcW w:w="2158" w:type="dxa"/>
          </w:tcPr>
          <w:p w14:paraId="2FEC1AAC" w14:textId="2A1790E9" w:rsidR="00394C56" w:rsidRDefault="00394C56" w:rsidP="001D6E25">
            <w:r>
              <w:t>N/A</w:t>
            </w:r>
          </w:p>
        </w:tc>
        <w:tc>
          <w:tcPr>
            <w:tcW w:w="10075" w:type="dxa"/>
          </w:tcPr>
          <w:p w14:paraId="174A2AC7" w14:textId="77777777" w:rsidR="00394C56" w:rsidRPr="009D0584" w:rsidRDefault="00394C56" w:rsidP="00394C56">
            <w:r w:rsidRPr="009D0584">
              <w:t>Watch for quiz questions that reference a “Materials” section. These questions will need to be edited to point to the appropriate document on the quiz’s main assignment page.</w:t>
            </w:r>
          </w:p>
          <w:p w14:paraId="0FC7FFBF" w14:textId="77777777" w:rsidR="00394C56" w:rsidRDefault="00394C56" w:rsidP="00394C56"/>
        </w:tc>
      </w:tr>
    </w:tbl>
    <w:p w14:paraId="02B30AB1" w14:textId="5E123C77" w:rsidR="00796517" w:rsidRDefault="00796517" w:rsidP="00300071">
      <w:pPr>
        <w:pStyle w:val="Heading2"/>
      </w:pPr>
      <w:r>
        <w:t>Participation</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796517" w:rsidRPr="00DA133F" w14:paraId="666B1E6E" w14:textId="77777777" w:rsidTr="00155D32">
        <w:trPr>
          <w:tblHeader/>
        </w:trPr>
        <w:tc>
          <w:tcPr>
            <w:tcW w:w="2157" w:type="dxa"/>
          </w:tcPr>
          <w:p w14:paraId="29ADCCDE" w14:textId="77777777" w:rsidR="00796517" w:rsidRPr="00DA133F" w:rsidRDefault="00796517" w:rsidP="00155D32">
            <w:pPr>
              <w:rPr>
                <w:b/>
              </w:rPr>
            </w:pPr>
            <w:r w:rsidRPr="00DA133F">
              <w:rPr>
                <w:b/>
              </w:rPr>
              <w:t>EDGE Element</w:t>
            </w:r>
          </w:p>
        </w:tc>
        <w:tc>
          <w:tcPr>
            <w:tcW w:w="2158" w:type="dxa"/>
          </w:tcPr>
          <w:p w14:paraId="0B992CB5" w14:textId="77777777" w:rsidR="00796517" w:rsidRPr="00DA133F" w:rsidRDefault="00796517" w:rsidP="00155D32">
            <w:pPr>
              <w:rPr>
                <w:b/>
              </w:rPr>
            </w:pPr>
            <w:r w:rsidRPr="00DA133F">
              <w:rPr>
                <w:b/>
              </w:rPr>
              <w:t>Canvas Element</w:t>
            </w:r>
          </w:p>
        </w:tc>
        <w:tc>
          <w:tcPr>
            <w:tcW w:w="10075" w:type="dxa"/>
          </w:tcPr>
          <w:p w14:paraId="0E54CDE2" w14:textId="77777777" w:rsidR="00796517" w:rsidRPr="00DA133F" w:rsidRDefault="00796517" w:rsidP="00155D32">
            <w:pPr>
              <w:rPr>
                <w:b/>
              </w:rPr>
            </w:pPr>
            <w:r w:rsidRPr="00DA133F">
              <w:rPr>
                <w:b/>
              </w:rPr>
              <w:t>Conversion Notes</w:t>
            </w:r>
          </w:p>
        </w:tc>
      </w:tr>
      <w:tr w:rsidR="00796517" w14:paraId="00ACB23B" w14:textId="77777777" w:rsidTr="00155D32">
        <w:tc>
          <w:tcPr>
            <w:tcW w:w="2157" w:type="dxa"/>
          </w:tcPr>
          <w:p w14:paraId="367B5F2B" w14:textId="77777777" w:rsidR="00796517" w:rsidRPr="002D22C5" w:rsidRDefault="00796517" w:rsidP="00155D32">
            <w:r w:rsidRPr="002D22C5">
              <w:t>Participation Node/Page</w:t>
            </w:r>
          </w:p>
        </w:tc>
        <w:tc>
          <w:tcPr>
            <w:tcW w:w="2158" w:type="dxa"/>
          </w:tcPr>
          <w:p w14:paraId="35FEBC1B" w14:textId="77777777" w:rsidR="00796517" w:rsidRPr="002D22C5" w:rsidRDefault="00796517" w:rsidP="00155D32">
            <w:r w:rsidRPr="002D22C5">
              <w:t>N/A</w:t>
            </w:r>
          </w:p>
        </w:tc>
        <w:tc>
          <w:tcPr>
            <w:tcW w:w="10075" w:type="dxa"/>
          </w:tcPr>
          <w:p w14:paraId="0883163A" w14:textId="77777777" w:rsidR="00796517" w:rsidRPr="002D22C5" w:rsidRDefault="00796517" w:rsidP="00796517">
            <w:r w:rsidRPr="002D22C5">
              <w:t xml:space="preserve">If a course includes a Participation node in EDGE, create a Participation </w:t>
            </w:r>
            <w:r w:rsidR="001C75E0" w:rsidRPr="002D22C5">
              <w:t>m</w:t>
            </w:r>
            <w:r w:rsidRPr="002D22C5">
              <w:t xml:space="preserve">odule at the bottom of the Modules page in Canvas, and create a Participation assignment with the corresponding content. </w:t>
            </w:r>
            <w:r w:rsidR="00575DB6" w:rsidRPr="002D22C5">
              <w:t>Replace “…counts as X% of your overall course grade” with “…counts towards your overall course grade.”</w:t>
            </w:r>
          </w:p>
          <w:p w14:paraId="27F86E50" w14:textId="77777777" w:rsidR="00575DB6" w:rsidRPr="002D22C5" w:rsidRDefault="00575DB6" w:rsidP="00796517"/>
        </w:tc>
      </w:tr>
    </w:tbl>
    <w:p w14:paraId="7C3E39A0" w14:textId="58193CD6" w:rsidR="00A57186" w:rsidRPr="00A57186" w:rsidRDefault="00300071" w:rsidP="00300071">
      <w:pPr>
        <w:pStyle w:val="Heading2"/>
      </w:pPr>
      <w:r>
        <w:t>Formatting</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15111D" w:rsidRPr="00DA133F" w14:paraId="66413D2A" w14:textId="77777777" w:rsidTr="00155D32">
        <w:trPr>
          <w:tblHeader/>
        </w:trPr>
        <w:tc>
          <w:tcPr>
            <w:tcW w:w="2157" w:type="dxa"/>
          </w:tcPr>
          <w:p w14:paraId="7A35B82B" w14:textId="77777777" w:rsidR="0015111D" w:rsidRPr="00DA133F" w:rsidRDefault="0015111D" w:rsidP="00155D32">
            <w:pPr>
              <w:rPr>
                <w:b/>
              </w:rPr>
            </w:pPr>
            <w:r w:rsidRPr="00DA133F">
              <w:rPr>
                <w:b/>
              </w:rPr>
              <w:t>EDGE Element</w:t>
            </w:r>
          </w:p>
        </w:tc>
        <w:tc>
          <w:tcPr>
            <w:tcW w:w="2158" w:type="dxa"/>
          </w:tcPr>
          <w:p w14:paraId="79E7378A" w14:textId="77777777" w:rsidR="0015111D" w:rsidRPr="00DA133F" w:rsidRDefault="0015111D" w:rsidP="00155D32">
            <w:pPr>
              <w:rPr>
                <w:b/>
              </w:rPr>
            </w:pPr>
            <w:r w:rsidRPr="00DA133F">
              <w:rPr>
                <w:b/>
              </w:rPr>
              <w:t>Canvas Element</w:t>
            </w:r>
          </w:p>
        </w:tc>
        <w:tc>
          <w:tcPr>
            <w:tcW w:w="10075" w:type="dxa"/>
          </w:tcPr>
          <w:p w14:paraId="364A94F5" w14:textId="77777777" w:rsidR="0015111D" w:rsidRPr="00DA133F" w:rsidRDefault="0015111D" w:rsidP="00155D32">
            <w:pPr>
              <w:rPr>
                <w:b/>
              </w:rPr>
            </w:pPr>
            <w:r w:rsidRPr="00DA133F">
              <w:rPr>
                <w:b/>
              </w:rPr>
              <w:t>Conversion Notes</w:t>
            </w:r>
          </w:p>
        </w:tc>
      </w:tr>
      <w:tr w:rsidR="0015111D" w14:paraId="49C50EAA" w14:textId="77777777" w:rsidTr="00155D32">
        <w:tc>
          <w:tcPr>
            <w:tcW w:w="2157" w:type="dxa"/>
          </w:tcPr>
          <w:p w14:paraId="6FD45D01" w14:textId="77777777" w:rsidR="0015111D" w:rsidRPr="000A0498" w:rsidRDefault="0015111D" w:rsidP="00155D32">
            <w:r>
              <w:t>Headers</w:t>
            </w:r>
          </w:p>
        </w:tc>
        <w:tc>
          <w:tcPr>
            <w:tcW w:w="2158" w:type="dxa"/>
          </w:tcPr>
          <w:p w14:paraId="4100ED05" w14:textId="77777777" w:rsidR="0015111D" w:rsidRPr="000A0498" w:rsidRDefault="0015111D" w:rsidP="00155D32">
            <w:r>
              <w:t>Headers</w:t>
            </w:r>
          </w:p>
        </w:tc>
        <w:tc>
          <w:tcPr>
            <w:tcW w:w="10075" w:type="dxa"/>
          </w:tcPr>
          <w:p w14:paraId="5B91A3D1" w14:textId="77777777" w:rsidR="0015111D" w:rsidRDefault="005452DD" w:rsidP="00155D32">
            <w:r>
              <w:t>Since Header 2 is the highest header level available in the rich-content editor for Canvas, w</w:t>
            </w:r>
            <w:r w:rsidR="0015111D">
              <w:t xml:space="preserve">hen </w:t>
            </w:r>
            <w:r w:rsidR="0015111D" w:rsidRPr="0015111D">
              <w:t>transfer</w:t>
            </w:r>
            <w:r w:rsidR="0015111D">
              <w:t>ring</w:t>
            </w:r>
            <w:r w:rsidR="0015111D" w:rsidRPr="0015111D">
              <w:t xml:space="preserve"> content over, step the header style down one level for each header. (So Header 1 in Edge should become Header 2 in Canv</w:t>
            </w:r>
            <w:r w:rsidR="0015111D">
              <w:t>as, Header 2 in EDGE</w:t>
            </w:r>
            <w:r w:rsidR="0015111D" w:rsidRPr="0015111D">
              <w:t xml:space="preserve"> should become Header 3 in Canvas, etc.)</w:t>
            </w:r>
          </w:p>
          <w:p w14:paraId="7D46824E" w14:textId="77777777" w:rsidR="0015111D" w:rsidRDefault="0015111D" w:rsidP="00155D32"/>
          <w:p w14:paraId="1501F46F" w14:textId="77777777" w:rsidR="0015111D" w:rsidRDefault="0015111D" w:rsidP="0015111D">
            <w:r>
              <w:t>Also, title</w:t>
            </w:r>
            <w:r w:rsidR="00A61D83">
              <w:t>-</w:t>
            </w:r>
            <w:r>
              <w:t>case all headers, even if they were in sentence case in EDGE.</w:t>
            </w:r>
          </w:p>
          <w:p w14:paraId="070AF0D0" w14:textId="77777777" w:rsidR="0015111D" w:rsidRDefault="0015111D" w:rsidP="0015111D"/>
        </w:tc>
      </w:tr>
      <w:tr w:rsidR="0015111D" w14:paraId="38A2F63C" w14:textId="77777777" w:rsidTr="00155D32">
        <w:tc>
          <w:tcPr>
            <w:tcW w:w="2157" w:type="dxa"/>
          </w:tcPr>
          <w:p w14:paraId="27D064F4" w14:textId="056C1D42" w:rsidR="0015111D" w:rsidRPr="001F51D4" w:rsidRDefault="0015111D" w:rsidP="00155D32">
            <w:r w:rsidRPr="001F51D4">
              <w:t>Faculty</w:t>
            </w:r>
            <w:r w:rsidR="004D0CC1" w:rsidRPr="001F51D4">
              <w:t>-o</w:t>
            </w:r>
            <w:r w:rsidRPr="001F51D4">
              <w:t>nly Notes</w:t>
            </w:r>
          </w:p>
        </w:tc>
        <w:tc>
          <w:tcPr>
            <w:tcW w:w="2158" w:type="dxa"/>
          </w:tcPr>
          <w:p w14:paraId="00BDAC47" w14:textId="77777777" w:rsidR="0015111D" w:rsidRPr="001F51D4" w:rsidRDefault="0015111D" w:rsidP="00155D32">
            <w:r w:rsidRPr="001F51D4">
              <w:t>N/A</w:t>
            </w:r>
          </w:p>
          <w:p w14:paraId="0786C5C9" w14:textId="77777777" w:rsidR="0015111D" w:rsidRPr="001F51D4" w:rsidRDefault="0015111D" w:rsidP="00155D32"/>
        </w:tc>
        <w:tc>
          <w:tcPr>
            <w:tcW w:w="10075" w:type="dxa"/>
          </w:tcPr>
          <w:p w14:paraId="2BBBDF91" w14:textId="2748F81C" w:rsidR="00C802C1" w:rsidRPr="001F51D4" w:rsidRDefault="00C76DDB" w:rsidP="00453565">
            <w:r w:rsidRPr="001F51D4">
              <w:t>In Canvas, move any "Visible to Faculty Only" content to the Instructor Guide page. Then, on the original page where you found the "Visible to Faculty Only" note, insert this in a gray box instead:</w:t>
            </w:r>
          </w:p>
          <w:p w14:paraId="6E7E1595" w14:textId="13E2B7CE" w:rsidR="00691309" w:rsidRPr="001F51D4" w:rsidRDefault="00691309" w:rsidP="00453565"/>
          <w:p w14:paraId="031FD2C8" w14:textId="3E6987A5" w:rsidR="004D0CC1" w:rsidRPr="001F51D4" w:rsidRDefault="00C76DDB" w:rsidP="00453565">
            <w:r w:rsidRPr="001F51D4">
              <w:t xml:space="preserve">“Note to Faculty Member: See the </w:t>
            </w:r>
            <w:hyperlink r:id="rId16" w:history="1">
              <w:r w:rsidRPr="001F51D4">
                <w:rPr>
                  <w:rStyle w:val="Hyperlink"/>
                </w:rPr>
                <w:t>Instructor Guide</w:t>
              </w:r>
            </w:hyperlink>
            <w:r w:rsidRPr="001F51D4">
              <w:t xml:space="preserve"> for notes about this page.” </w:t>
            </w:r>
          </w:p>
          <w:p w14:paraId="6FDDFF7D" w14:textId="71859FAD" w:rsidR="004D0CC1" w:rsidRPr="001F51D4" w:rsidRDefault="004D0CC1" w:rsidP="00453565"/>
          <w:p w14:paraId="2E4BAEC7" w14:textId="3AC58CEA" w:rsidR="001F51D4" w:rsidRPr="001F51D4" w:rsidRDefault="001F51D4" w:rsidP="00453565">
            <w:r w:rsidRPr="001F51D4">
              <w:t>Link “Instructor Guide” to the Instructor Guide page as shown.</w:t>
            </w:r>
          </w:p>
          <w:p w14:paraId="584717AE" w14:textId="77777777" w:rsidR="001F51D4" w:rsidRPr="001F51D4" w:rsidRDefault="001F51D4" w:rsidP="00453565"/>
          <w:p w14:paraId="76D2B4F3" w14:textId="4A581E76" w:rsidR="0015111D" w:rsidRPr="001F51D4" w:rsidRDefault="00C76DDB" w:rsidP="00453565">
            <w:r w:rsidRPr="001F51D4">
              <w:t xml:space="preserve">If there was more than one “Visible to Faculty Only” note on a page, only insert the replacement </w:t>
            </w:r>
            <w:r w:rsidR="004D0CC1" w:rsidRPr="001F51D4">
              <w:t xml:space="preserve">note </w:t>
            </w:r>
            <w:r w:rsidRPr="001F51D4">
              <w:t>once on that page.</w:t>
            </w:r>
            <w:r w:rsidR="004D0CC1" w:rsidRPr="001F51D4">
              <w:t xml:space="preserve"> And i</w:t>
            </w:r>
            <w:r w:rsidR="009D0584" w:rsidRPr="001F51D4">
              <w:t>f possible, c</w:t>
            </w:r>
            <w:r w:rsidR="002C4160" w:rsidRPr="001F51D4">
              <w:t>reate a “</w:t>
            </w:r>
            <w:r w:rsidR="009D0584" w:rsidRPr="001F51D4">
              <w:t>Faculty-only N</w:t>
            </w:r>
            <w:r w:rsidRPr="001F51D4">
              <w:t>otes” style for the gray box</w:t>
            </w:r>
            <w:r w:rsidR="002C4160" w:rsidRPr="001F51D4">
              <w:t>.</w:t>
            </w:r>
          </w:p>
          <w:p w14:paraId="585E6704" w14:textId="297B35FB" w:rsidR="00BD13F1" w:rsidRPr="001F51D4" w:rsidRDefault="00BD13F1" w:rsidP="00453565"/>
        </w:tc>
      </w:tr>
      <w:tr w:rsidR="0015111D" w14:paraId="6853808B" w14:textId="77777777" w:rsidTr="00155D32">
        <w:tc>
          <w:tcPr>
            <w:tcW w:w="2157" w:type="dxa"/>
          </w:tcPr>
          <w:p w14:paraId="5ECD1BA2" w14:textId="77777777" w:rsidR="0015111D" w:rsidRPr="004B2C5F" w:rsidRDefault="0015111D" w:rsidP="00155D32">
            <w:r w:rsidRPr="004B2C5F">
              <w:t>Sidebars</w:t>
            </w:r>
          </w:p>
        </w:tc>
        <w:tc>
          <w:tcPr>
            <w:tcW w:w="2158" w:type="dxa"/>
          </w:tcPr>
          <w:p w14:paraId="7DAA0CC2" w14:textId="77777777" w:rsidR="0015111D" w:rsidRPr="004B2C5F" w:rsidRDefault="0015111D" w:rsidP="00155D32">
            <w:r w:rsidRPr="004B2C5F">
              <w:t>N/A</w:t>
            </w:r>
          </w:p>
        </w:tc>
        <w:tc>
          <w:tcPr>
            <w:tcW w:w="10075" w:type="dxa"/>
          </w:tcPr>
          <w:p w14:paraId="77E0748E" w14:textId="72A65326" w:rsidR="009D0584" w:rsidRPr="004B2C5F" w:rsidRDefault="0052078B" w:rsidP="0015111D">
            <w:r w:rsidRPr="004B2C5F">
              <w:t>R</w:t>
            </w:r>
            <w:r w:rsidR="0015111D" w:rsidRPr="004B2C5F">
              <w:t xml:space="preserve">ecreate sidebars (Notes, </w:t>
            </w:r>
            <w:r w:rsidR="00980E4C" w:rsidRPr="004B2C5F">
              <w:t>Cases, Examples, Tips, etc.) as</w:t>
            </w:r>
            <w:r w:rsidR="0015111D" w:rsidRPr="004B2C5F">
              <w:t xml:space="preserve"> </w:t>
            </w:r>
            <w:r w:rsidR="00980E4C" w:rsidRPr="004B2C5F">
              <w:t xml:space="preserve">inline text in </w:t>
            </w:r>
            <w:r w:rsidR="009D0584" w:rsidRPr="004B2C5F">
              <w:t>a light-green box</w:t>
            </w:r>
            <w:r w:rsidR="00980E4C" w:rsidRPr="004B2C5F">
              <w:t>.</w:t>
            </w:r>
            <w:r w:rsidR="002C4160" w:rsidRPr="004B2C5F">
              <w:t xml:space="preserve"> </w:t>
            </w:r>
            <w:r w:rsidR="009D0584" w:rsidRPr="004B2C5F">
              <w:t>See the Cap Ed Template for an example.</w:t>
            </w:r>
          </w:p>
          <w:p w14:paraId="5CC76029" w14:textId="77777777" w:rsidR="009D0584" w:rsidRPr="004B2C5F" w:rsidRDefault="009D0584" w:rsidP="0015111D"/>
          <w:p w14:paraId="74568224" w14:textId="317D79F0" w:rsidR="00BD13F1" w:rsidRPr="004B2C5F" w:rsidRDefault="001F51D4" w:rsidP="0015111D">
            <w:r>
              <w:t>If possible, c</w:t>
            </w:r>
            <w:r w:rsidR="009D0584" w:rsidRPr="004B2C5F">
              <w:t>reate a “S</w:t>
            </w:r>
            <w:r w:rsidR="002C4160" w:rsidRPr="004B2C5F">
              <w:t>idebar” style for this.</w:t>
            </w:r>
            <w:r w:rsidR="00BD13F1" w:rsidRPr="004B2C5F">
              <w:t xml:space="preserve"> </w:t>
            </w:r>
          </w:p>
          <w:p w14:paraId="62FEE992" w14:textId="77777777" w:rsidR="0015111D" w:rsidRPr="004B2C5F" w:rsidRDefault="0015111D" w:rsidP="0015111D"/>
        </w:tc>
      </w:tr>
      <w:tr w:rsidR="0015111D" w14:paraId="470CE783" w14:textId="77777777" w:rsidTr="00155D32">
        <w:tc>
          <w:tcPr>
            <w:tcW w:w="2157" w:type="dxa"/>
          </w:tcPr>
          <w:p w14:paraId="66775406" w14:textId="77777777" w:rsidR="0015111D" w:rsidRPr="002D22C5" w:rsidRDefault="0015111D" w:rsidP="00155D32">
            <w:r w:rsidRPr="002D22C5">
              <w:t>Popups</w:t>
            </w:r>
          </w:p>
        </w:tc>
        <w:tc>
          <w:tcPr>
            <w:tcW w:w="2158" w:type="dxa"/>
          </w:tcPr>
          <w:p w14:paraId="0ADF49DE" w14:textId="77777777" w:rsidR="0015111D" w:rsidRPr="002D22C5" w:rsidRDefault="0015111D" w:rsidP="00155D32">
            <w:r w:rsidRPr="002D22C5">
              <w:t>N/A</w:t>
            </w:r>
          </w:p>
        </w:tc>
        <w:tc>
          <w:tcPr>
            <w:tcW w:w="10075" w:type="dxa"/>
          </w:tcPr>
          <w:p w14:paraId="33217B67" w14:textId="77777777" w:rsidR="00094483" w:rsidRPr="002D22C5" w:rsidRDefault="0052078B" w:rsidP="0015111D">
            <w:r>
              <w:t>C</w:t>
            </w:r>
            <w:r w:rsidR="0015111D" w:rsidRPr="002D22C5">
              <w:t>onvert popups (such as Learn Mores) into individual Word documents.</w:t>
            </w:r>
          </w:p>
          <w:p w14:paraId="2687E946" w14:textId="77777777" w:rsidR="0015111D" w:rsidRPr="002D22C5" w:rsidRDefault="0015111D" w:rsidP="0015111D">
            <w:r w:rsidRPr="002D22C5">
              <w:t xml:space="preserve"> </w:t>
            </w:r>
          </w:p>
        </w:tc>
      </w:tr>
      <w:tr w:rsidR="00094483" w14:paraId="52E6A7BF" w14:textId="77777777" w:rsidTr="00155D32">
        <w:tc>
          <w:tcPr>
            <w:tcW w:w="2157" w:type="dxa"/>
          </w:tcPr>
          <w:p w14:paraId="551A7890" w14:textId="77777777" w:rsidR="00094483" w:rsidRPr="002C4160" w:rsidRDefault="00094483" w:rsidP="00094483">
            <w:r w:rsidRPr="002C4160">
              <w:t>Website Links</w:t>
            </w:r>
          </w:p>
        </w:tc>
        <w:tc>
          <w:tcPr>
            <w:tcW w:w="2158" w:type="dxa"/>
          </w:tcPr>
          <w:p w14:paraId="738FFC55" w14:textId="77777777" w:rsidR="00094483" w:rsidRPr="002C4160" w:rsidRDefault="00094483" w:rsidP="00155D32">
            <w:r w:rsidRPr="002C4160">
              <w:t>N/A</w:t>
            </w:r>
          </w:p>
        </w:tc>
        <w:tc>
          <w:tcPr>
            <w:tcW w:w="10075" w:type="dxa"/>
          </w:tcPr>
          <w:p w14:paraId="75D048C7" w14:textId="77777777" w:rsidR="00094483" w:rsidRPr="002C4160" w:rsidRDefault="00094483" w:rsidP="00094483">
            <w:r w:rsidRPr="002C4160">
              <w:t>If a link is styled in the format “Google (</w:t>
            </w:r>
            <w:hyperlink r:id="rId17" w:history="1">
              <w:r w:rsidRPr="002C4160">
                <w:rPr>
                  <w:rStyle w:val="Hyperlink"/>
                </w:rPr>
                <w:t>website</w:t>
              </w:r>
            </w:hyperlink>
            <w:r w:rsidRPr="002C4160">
              <w:t xml:space="preserve">),” delete “(website)” and hyperlink the name of the link instead (e.g., </w:t>
            </w:r>
            <w:r w:rsidR="003D4EEA" w:rsidRPr="002C4160">
              <w:t>“</w:t>
            </w:r>
            <w:hyperlink r:id="rId18" w:history="1">
              <w:r w:rsidRPr="002C4160">
                <w:rPr>
                  <w:rStyle w:val="Hyperlink"/>
                </w:rPr>
                <w:t>Google</w:t>
              </w:r>
            </w:hyperlink>
            <w:r w:rsidRPr="002C4160">
              <w:t>.</w:t>
            </w:r>
            <w:r w:rsidR="003D4EEA" w:rsidRPr="002C4160">
              <w:t>”</w:t>
            </w:r>
            <w:r w:rsidRPr="002C4160">
              <w:t>)</w:t>
            </w:r>
          </w:p>
          <w:p w14:paraId="5284FCE4" w14:textId="77777777" w:rsidR="00094483" w:rsidRPr="002C4160" w:rsidRDefault="00094483" w:rsidP="00094483">
            <w:r w:rsidRPr="002C4160">
              <w:t xml:space="preserve"> </w:t>
            </w:r>
          </w:p>
        </w:tc>
      </w:tr>
    </w:tbl>
    <w:p w14:paraId="75BE19F5" w14:textId="77777777" w:rsidR="00C21588" w:rsidRPr="00A57186" w:rsidRDefault="00C21588" w:rsidP="00C21588">
      <w:pPr>
        <w:pStyle w:val="Heading2"/>
      </w:pPr>
      <w:r>
        <w:lastRenderedPageBreak/>
        <w:t>Terminology</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C21588" w:rsidRPr="00DA133F" w14:paraId="37966063" w14:textId="77777777" w:rsidTr="00EC1F1F">
        <w:trPr>
          <w:tblHeader/>
        </w:trPr>
        <w:tc>
          <w:tcPr>
            <w:tcW w:w="2157" w:type="dxa"/>
          </w:tcPr>
          <w:p w14:paraId="18F6C876" w14:textId="77777777" w:rsidR="00C21588" w:rsidRPr="00DA133F" w:rsidRDefault="00C21588" w:rsidP="00EC1F1F">
            <w:pPr>
              <w:rPr>
                <w:b/>
              </w:rPr>
            </w:pPr>
            <w:r w:rsidRPr="00DA133F">
              <w:rPr>
                <w:b/>
              </w:rPr>
              <w:t>EDGE Element</w:t>
            </w:r>
          </w:p>
        </w:tc>
        <w:tc>
          <w:tcPr>
            <w:tcW w:w="2158" w:type="dxa"/>
          </w:tcPr>
          <w:p w14:paraId="4E752577" w14:textId="77777777" w:rsidR="00C21588" w:rsidRPr="00DA133F" w:rsidRDefault="00C21588" w:rsidP="00EC1F1F">
            <w:pPr>
              <w:rPr>
                <w:b/>
              </w:rPr>
            </w:pPr>
            <w:r w:rsidRPr="00DA133F">
              <w:rPr>
                <w:b/>
              </w:rPr>
              <w:t>Canvas Element</w:t>
            </w:r>
          </w:p>
        </w:tc>
        <w:tc>
          <w:tcPr>
            <w:tcW w:w="10075" w:type="dxa"/>
          </w:tcPr>
          <w:p w14:paraId="7F2B34D2" w14:textId="77777777" w:rsidR="00C21588" w:rsidRPr="00DA133F" w:rsidRDefault="00C21588" w:rsidP="00EC1F1F">
            <w:pPr>
              <w:rPr>
                <w:b/>
              </w:rPr>
            </w:pPr>
            <w:r w:rsidRPr="00DA133F">
              <w:rPr>
                <w:b/>
              </w:rPr>
              <w:t>Conversion Notes</w:t>
            </w:r>
          </w:p>
        </w:tc>
      </w:tr>
      <w:tr w:rsidR="008A08B7" w14:paraId="3D33FDAF" w14:textId="77777777" w:rsidTr="00EC1F1F">
        <w:tc>
          <w:tcPr>
            <w:tcW w:w="2157" w:type="dxa"/>
          </w:tcPr>
          <w:p w14:paraId="4474234E" w14:textId="77777777" w:rsidR="008A08B7" w:rsidRPr="002C4160" w:rsidRDefault="008A08B7" w:rsidP="00EC1F1F">
            <w:r w:rsidRPr="002C4160">
              <w:t>Click vs. Select</w:t>
            </w:r>
          </w:p>
        </w:tc>
        <w:tc>
          <w:tcPr>
            <w:tcW w:w="2158" w:type="dxa"/>
          </w:tcPr>
          <w:p w14:paraId="367B30FE" w14:textId="77777777" w:rsidR="008A08B7" w:rsidRPr="002C4160" w:rsidRDefault="008A08B7" w:rsidP="00EC1F1F">
            <w:r w:rsidRPr="002C4160">
              <w:t>N/A</w:t>
            </w:r>
          </w:p>
        </w:tc>
        <w:tc>
          <w:tcPr>
            <w:tcW w:w="10075" w:type="dxa"/>
          </w:tcPr>
          <w:p w14:paraId="2F1348F5" w14:textId="77777777" w:rsidR="008A08B7" w:rsidRPr="002C4160" w:rsidRDefault="008A08B7" w:rsidP="00EC1F1F">
            <w:r w:rsidRPr="002C4160">
              <w:t>Change “click” to “select” (since some learners will be accessing the course via mobile devices).</w:t>
            </w:r>
          </w:p>
          <w:p w14:paraId="11E299D3" w14:textId="77777777" w:rsidR="008A08B7" w:rsidRPr="002C4160" w:rsidRDefault="008A08B7" w:rsidP="00EC1F1F"/>
        </w:tc>
      </w:tr>
      <w:tr w:rsidR="008A08B7" w14:paraId="3DD2B544" w14:textId="77777777" w:rsidTr="00EC1F1F">
        <w:tc>
          <w:tcPr>
            <w:tcW w:w="2157" w:type="dxa"/>
          </w:tcPr>
          <w:p w14:paraId="0E97E7BD" w14:textId="77777777" w:rsidR="008A08B7" w:rsidRPr="002C4160" w:rsidRDefault="008A08B7" w:rsidP="00EC1F1F">
            <w:r w:rsidRPr="002C4160">
              <w:t>Course Map</w:t>
            </w:r>
          </w:p>
        </w:tc>
        <w:tc>
          <w:tcPr>
            <w:tcW w:w="2158" w:type="dxa"/>
          </w:tcPr>
          <w:p w14:paraId="74A1E3DF" w14:textId="77777777" w:rsidR="008A08B7" w:rsidRPr="002C4160" w:rsidRDefault="008A08B7" w:rsidP="00EC1F1F">
            <w:r w:rsidRPr="002C4160">
              <w:t>Navigation Links</w:t>
            </w:r>
          </w:p>
        </w:tc>
        <w:tc>
          <w:tcPr>
            <w:tcW w:w="10075" w:type="dxa"/>
          </w:tcPr>
          <w:p w14:paraId="01AFD448" w14:textId="77777777" w:rsidR="008A08B7" w:rsidRPr="002C4160" w:rsidRDefault="008A08B7" w:rsidP="00EC1F1F">
            <w:r w:rsidRPr="002C4160">
              <w:t>Change “Course Map” to “Home page” or “left-hand navigation links” as appropriate.</w:t>
            </w:r>
          </w:p>
          <w:p w14:paraId="516F81C8" w14:textId="77777777" w:rsidR="008A08B7" w:rsidRPr="002C4160" w:rsidRDefault="008A08B7" w:rsidP="00EC1F1F"/>
        </w:tc>
      </w:tr>
      <w:tr w:rsidR="008A08B7" w14:paraId="060E5718" w14:textId="77777777" w:rsidTr="00EC1F1F">
        <w:tc>
          <w:tcPr>
            <w:tcW w:w="2157" w:type="dxa"/>
          </w:tcPr>
          <w:p w14:paraId="63BA9E7A" w14:textId="2FE52CA0" w:rsidR="008A08B7" w:rsidRPr="004B2C5F" w:rsidRDefault="008A08B7" w:rsidP="00EC1F1F">
            <w:r w:rsidRPr="004B2C5F">
              <w:t>Faculty Office</w:t>
            </w:r>
          </w:p>
        </w:tc>
        <w:tc>
          <w:tcPr>
            <w:tcW w:w="2158" w:type="dxa"/>
          </w:tcPr>
          <w:p w14:paraId="095E9C05" w14:textId="383039CD" w:rsidR="008A08B7" w:rsidRPr="004B2C5F" w:rsidRDefault="008A08B7" w:rsidP="00EC1F1F">
            <w:r w:rsidRPr="004B2C5F">
              <w:t>Inbox</w:t>
            </w:r>
          </w:p>
        </w:tc>
        <w:tc>
          <w:tcPr>
            <w:tcW w:w="10075" w:type="dxa"/>
          </w:tcPr>
          <w:p w14:paraId="678F8B25" w14:textId="77777777" w:rsidR="008A08B7" w:rsidRPr="004B2C5F" w:rsidRDefault="008A08B7" w:rsidP="00EC1F1F">
            <w:r w:rsidRPr="004B2C5F">
              <w:t>Change “Faculty Office” to “Inbox.”</w:t>
            </w:r>
          </w:p>
          <w:p w14:paraId="0D941C4C" w14:textId="7501F7E2" w:rsidR="008A08B7" w:rsidRPr="004B2C5F" w:rsidRDefault="008A08B7" w:rsidP="00EC1F1F"/>
        </w:tc>
      </w:tr>
      <w:tr w:rsidR="008A08B7" w14:paraId="44791142" w14:textId="77777777" w:rsidTr="00EC1F1F">
        <w:tc>
          <w:tcPr>
            <w:tcW w:w="2157" w:type="dxa"/>
          </w:tcPr>
          <w:p w14:paraId="5780D9DA" w14:textId="77777777" w:rsidR="008A08B7" w:rsidRPr="002C4160" w:rsidRDefault="008A08B7" w:rsidP="00EC1F1F">
            <w:r w:rsidRPr="002C4160">
              <w:t>Microsoft Word/Excel/PowerPoint</w:t>
            </w:r>
          </w:p>
          <w:p w14:paraId="05326C78" w14:textId="77777777" w:rsidR="008A08B7" w:rsidRPr="002C4160" w:rsidRDefault="008A08B7" w:rsidP="00EC1F1F"/>
        </w:tc>
        <w:tc>
          <w:tcPr>
            <w:tcW w:w="2158" w:type="dxa"/>
          </w:tcPr>
          <w:p w14:paraId="7A77FD20" w14:textId="77777777" w:rsidR="008A08B7" w:rsidRPr="002C4160" w:rsidRDefault="008A08B7" w:rsidP="00EC1F1F">
            <w:r w:rsidRPr="002C4160">
              <w:t>N/A</w:t>
            </w:r>
          </w:p>
        </w:tc>
        <w:tc>
          <w:tcPr>
            <w:tcW w:w="10075" w:type="dxa"/>
          </w:tcPr>
          <w:p w14:paraId="6836A40B" w14:textId="77777777" w:rsidR="008A08B7" w:rsidRPr="002C4160" w:rsidRDefault="008A08B7" w:rsidP="00EC1F1F">
            <w:r w:rsidRPr="002C4160">
              <w:t>To account for multiple forms of office software:</w:t>
            </w:r>
          </w:p>
          <w:p w14:paraId="134017BC" w14:textId="77777777" w:rsidR="008A08B7" w:rsidRPr="002C4160" w:rsidRDefault="008A08B7" w:rsidP="00EC1F1F"/>
          <w:p w14:paraId="1CDB43B1" w14:textId="77777777" w:rsidR="008A08B7" w:rsidRPr="002C4160" w:rsidRDefault="008A08B7" w:rsidP="003D4EEA">
            <w:pPr>
              <w:pStyle w:val="ListParagraph"/>
              <w:numPr>
                <w:ilvl w:val="0"/>
                <w:numId w:val="11"/>
              </w:numPr>
            </w:pPr>
            <w:r w:rsidRPr="002C4160">
              <w:t>Change “Microsoft Word document” to “word-</w:t>
            </w:r>
            <w:r w:rsidRPr="00696203">
              <w:t>processing document.”</w:t>
            </w:r>
          </w:p>
          <w:p w14:paraId="22C0A037" w14:textId="77777777" w:rsidR="008A08B7" w:rsidRPr="002C4160" w:rsidRDefault="008A08B7" w:rsidP="003D4EEA">
            <w:pPr>
              <w:pStyle w:val="ListParagraph"/>
              <w:numPr>
                <w:ilvl w:val="0"/>
                <w:numId w:val="11"/>
              </w:numPr>
            </w:pPr>
            <w:r w:rsidRPr="002C4160">
              <w:t>Change “Microsoft Excel document [or spreadsheet]” to “spreadsheet.”</w:t>
            </w:r>
          </w:p>
          <w:p w14:paraId="52CF1953" w14:textId="77777777" w:rsidR="008A08B7" w:rsidRPr="00394C56" w:rsidRDefault="008A08B7" w:rsidP="003D4EEA">
            <w:pPr>
              <w:pStyle w:val="ListParagraph"/>
              <w:numPr>
                <w:ilvl w:val="0"/>
                <w:numId w:val="11"/>
              </w:numPr>
            </w:pPr>
            <w:r w:rsidRPr="00394C56">
              <w:t>Change “Microsoft PowerPoint presentation [or slide deck/slide pack/document]” to “slide presentation.”</w:t>
            </w:r>
          </w:p>
          <w:p w14:paraId="6E0B5998" w14:textId="77777777" w:rsidR="008A08B7" w:rsidRPr="002C4160" w:rsidRDefault="008A08B7" w:rsidP="00EC1F1F"/>
        </w:tc>
      </w:tr>
      <w:tr w:rsidR="008A08B7" w14:paraId="360C2673" w14:textId="77777777" w:rsidTr="00EC1F1F">
        <w:tc>
          <w:tcPr>
            <w:tcW w:w="2157" w:type="dxa"/>
          </w:tcPr>
          <w:p w14:paraId="7397E053" w14:textId="77777777" w:rsidR="008A08B7" w:rsidRPr="002C4160" w:rsidRDefault="008A08B7" w:rsidP="00EC1F1F">
            <w:r w:rsidRPr="002C4160">
              <w:t>Screen Location</w:t>
            </w:r>
          </w:p>
        </w:tc>
        <w:tc>
          <w:tcPr>
            <w:tcW w:w="2158" w:type="dxa"/>
          </w:tcPr>
          <w:p w14:paraId="2485B7B5" w14:textId="77777777" w:rsidR="008A08B7" w:rsidRPr="002C4160" w:rsidRDefault="008A08B7" w:rsidP="00EC1F1F">
            <w:r w:rsidRPr="002C4160">
              <w:t>N/A</w:t>
            </w:r>
          </w:p>
        </w:tc>
        <w:tc>
          <w:tcPr>
            <w:tcW w:w="10075" w:type="dxa"/>
          </w:tcPr>
          <w:p w14:paraId="38E54F6E" w14:textId="77777777" w:rsidR="008A08B7" w:rsidRPr="002C4160" w:rsidRDefault="008A08B7" w:rsidP="00EC1F1F">
            <w:r w:rsidRPr="002C4160">
              <w:t>Remove directional references to buttons. (E.g., “Select Submit Assignment above” should be just “Select Submit Assignment,” since the mobile view might move things around.)</w:t>
            </w:r>
          </w:p>
          <w:p w14:paraId="5024FD09" w14:textId="77777777" w:rsidR="008A08B7" w:rsidRPr="002C4160" w:rsidRDefault="008A08B7" w:rsidP="00EC1F1F"/>
        </w:tc>
      </w:tr>
    </w:tbl>
    <w:p w14:paraId="516172EB" w14:textId="77777777" w:rsidR="00615C97" w:rsidRDefault="00EE7B5A" w:rsidP="00EE7B5A">
      <w:pPr>
        <w:pStyle w:val="Heading1"/>
      </w:pPr>
      <w:r>
        <w:t>Conversion Notes – School Specific</w:t>
      </w:r>
      <w:r w:rsidR="00980E4C">
        <w:t xml:space="preserve"> (TBD)</w:t>
      </w:r>
    </w:p>
    <w:p w14:paraId="228289F9" w14:textId="77777777" w:rsidR="00EE7B5A" w:rsidRPr="00A57186" w:rsidRDefault="00EE7B5A" w:rsidP="00EE7B5A">
      <w:pPr>
        <w:pStyle w:val="Heading2"/>
      </w:pPr>
      <w:r>
        <w:t>Houghton</w:t>
      </w:r>
    </w:p>
    <w:p w14:paraId="04F3DED1" w14:textId="77777777" w:rsidR="009A7D84" w:rsidRPr="00394C56" w:rsidRDefault="009A7D84" w:rsidP="009A7D84">
      <w:r w:rsidRPr="00394C56">
        <w:t>Will not be moving to Canvas.</w:t>
      </w:r>
    </w:p>
    <w:p w14:paraId="1AB7A4BC" w14:textId="77777777" w:rsidR="00EE7B5A" w:rsidRPr="00394C56" w:rsidRDefault="00EE7B5A" w:rsidP="00EE7B5A">
      <w:pPr>
        <w:pStyle w:val="Heading2"/>
      </w:pPr>
      <w:r w:rsidRPr="00394C56">
        <w:t>USF</w:t>
      </w:r>
    </w:p>
    <w:tbl>
      <w:tblPr>
        <w:tblStyle w:val="TableGrid"/>
        <w:tblW w:w="0" w:type="auto"/>
        <w:tblLayout w:type="fixed"/>
        <w:tblCellMar>
          <w:left w:w="115" w:type="dxa"/>
          <w:right w:w="115" w:type="dxa"/>
        </w:tblCellMar>
        <w:tblLook w:val="04A0" w:firstRow="1" w:lastRow="0" w:firstColumn="1" w:lastColumn="0" w:noHBand="0" w:noVBand="1"/>
      </w:tblPr>
      <w:tblGrid>
        <w:gridCol w:w="2157"/>
        <w:gridCol w:w="2158"/>
        <w:gridCol w:w="10075"/>
      </w:tblGrid>
      <w:tr w:rsidR="00EE7B5A" w:rsidRPr="00394C56" w14:paraId="50B2CF05" w14:textId="77777777" w:rsidTr="00EC1F1F">
        <w:trPr>
          <w:tblHeader/>
        </w:trPr>
        <w:tc>
          <w:tcPr>
            <w:tcW w:w="2157" w:type="dxa"/>
          </w:tcPr>
          <w:p w14:paraId="12378B9A" w14:textId="77777777" w:rsidR="00EE7B5A" w:rsidRPr="00394C56" w:rsidRDefault="00EE7B5A" w:rsidP="00EC1F1F">
            <w:pPr>
              <w:rPr>
                <w:b/>
              </w:rPr>
            </w:pPr>
            <w:r w:rsidRPr="00394C56">
              <w:rPr>
                <w:b/>
              </w:rPr>
              <w:t>EDGE Element</w:t>
            </w:r>
          </w:p>
        </w:tc>
        <w:tc>
          <w:tcPr>
            <w:tcW w:w="2158" w:type="dxa"/>
          </w:tcPr>
          <w:p w14:paraId="77F35B79" w14:textId="77777777" w:rsidR="00EE7B5A" w:rsidRPr="00394C56" w:rsidRDefault="00EE7B5A" w:rsidP="00EC1F1F">
            <w:pPr>
              <w:rPr>
                <w:b/>
              </w:rPr>
            </w:pPr>
            <w:r w:rsidRPr="00394C56">
              <w:rPr>
                <w:b/>
              </w:rPr>
              <w:t>Canvas Element</w:t>
            </w:r>
          </w:p>
        </w:tc>
        <w:tc>
          <w:tcPr>
            <w:tcW w:w="10075" w:type="dxa"/>
          </w:tcPr>
          <w:p w14:paraId="4E092A91" w14:textId="77777777" w:rsidR="00EE7B5A" w:rsidRPr="00394C56" w:rsidRDefault="00EE7B5A" w:rsidP="00EC1F1F">
            <w:pPr>
              <w:rPr>
                <w:b/>
              </w:rPr>
            </w:pPr>
            <w:r w:rsidRPr="00394C56">
              <w:rPr>
                <w:b/>
              </w:rPr>
              <w:t>Conversion Notes</w:t>
            </w:r>
          </w:p>
        </w:tc>
      </w:tr>
      <w:tr w:rsidR="00EE7B5A" w:rsidRPr="00394C56" w14:paraId="6081C474" w14:textId="77777777" w:rsidTr="00EC1F1F">
        <w:tc>
          <w:tcPr>
            <w:tcW w:w="2157" w:type="dxa"/>
          </w:tcPr>
          <w:p w14:paraId="76BCE48E" w14:textId="77777777" w:rsidR="00EE7B5A" w:rsidRPr="00394C56" w:rsidRDefault="00EE7B5A" w:rsidP="00EC1F1F">
            <w:r w:rsidRPr="00394C56">
              <w:t>Statement of Understanding</w:t>
            </w:r>
            <w:r w:rsidR="002D22C5" w:rsidRPr="00394C56">
              <w:t xml:space="preserve"> (</w:t>
            </w:r>
            <w:r w:rsidR="009A7D84" w:rsidRPr="00394C56">
              <w:t xml:space="preserve">on the </w:t>
            </w:r>
            <w:r w:rsidR="002D22C5" w:rsidRPr="00394C56">
              <w:t>syllabus)</w:t>
            </w:r>
          </w:p>
          <w:p w14:paraId="47991173" w14:textId="77777777" w:rsidR="003D4EEA" w:rsidRPr="00394C56" w:rsidRDefault="003D4EEA" w:rsidP="00EC1F1F"/>
        </w:tc>
        <w:tc>
          <w:tcPr>
            <w:tcW w:w="2158" w:type="dxa"/>
          </w:tcPr>
          <w:p w14:paraId="563F37FA" w14:textId="77777777" w:rsidR="00EE7B5A" w:rsidRPr="00394C56" w:rsidRDefault="00EE7B5A" w:rsidP="00EC1F1F"/>
        </w:tc>
        <w:tc>
          <w:tcPr>
            <w:tcW w:w="10075" w:type="dxa"/>
          </w:tcPr>
          <w:p w14:paraId="52534B6F" w14:textId="77777777" w:rsidR="00EE7B5A" w:rsidRPr="00394C56" w:rsidRDefault="002D22C5" w:rsidP="00EC1F1F">
            <w:r w:rsidRPr="00394C56">
              <w:t>TBD…</w:t>
            </w:r>
          </w:p>
        </w:tc>
      </w:tr>
    </w:tbl>
    <w:p w14:paraId="6D5A7BE4" w14:textId="77777777" w:rsidR="009A7D84" w:rsidRPr="00394C56" w:rsidRDefault="009A7D84" w:rsidP="009A7D84">
      <w:pPr>
        <w:pStyle w:val="Heading2"/>
      </w:pPr>
      <w:r w:rsidRPr="00394C56">
        <w:t>Welch</w:t>
      </w:r>
    </w:p>
    <w:p w14:paraId="434FCD4B" w14:textId="77777777" w:rsidR="00EE7B5A" w:rsidRPr="00EE7B5A" w:rsidRDefault="009A7D84" w:rsidP="00EE7B5A">
      <w:r w:rsidRPr="00394C56">
        <w:t>Will not be moving to Canvas.</w:t>
      </w:r>
    </w:p>
    <w:sectPr w:rsidR="00EE7B5A" w:rsidRPr="00EE7B5A" w:rsidSect="00DA13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321E"/>
    <w:multiLevelType w:val="hybridMultilevel"/>
    <w:tmpl w:val="B89A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D66EE"/>
    <w:multiLevelType w:val="hybridMultilevel"/>
    <w:tmpl w:val="F2AE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47A26"/>
    <w:multiLevelType w:val="hybridMultilevel"/>
    <w:tmpl w:val="BD0C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03D0E"/>
    <w:multiLevelType w:val="hybridMultilevel"/>
    <w:tmpl w:val="A76A13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37CC1"/>
    <w:multiLevelType w:val="hybridMultilevel"/>
    <w:tmpl w:val="7946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5687E"/>
    <w:multiLevelType w:val="hybridMultilevel"/>
    <w:tmpl w:val="1344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870A8"/>
    <w:multiLevelType w:val="hybridMultilevel"/>
    <w:tmpl w:val="4736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B2B2C"/>
    <w:multiLevelType w:val="hybridMultilevel"/>
    <w:tmpl w:val="7AD2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1443F"/>
    <w:multiLevelType w:val="hybridMultilevel"/>
    <w:tmpl w:val="B384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C70E6"/>
    <w:multiLevelType w:val="hybridMultilevel"/>
    <w:tmpl w:val="A76A13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45558"/>
    <w:multiLevelType w:val="hybridMultilevel"/>
    <w:tmpl w:val="DCA4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1031F"/>
    <w:multiLevelType w:val="hybridMultilevel"/>
    <w:tmpl w:val="C218B842"/>
    <w:lvl w:ilvl="0" w:tplc="F6ACCC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C3551"/>
    <w:multiLevelType w:val="hybridMultilevel"/>
    <w:tmpl w:val="4254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D4731"/>
    <w:multiLevelType w:val="hybridMultilevel"/>
    <w:tmpl w:val="EDE4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C774A"/>
    <w:multiLevelType w:val="hybridMultilevel"/>
    <w:tmpl w:val="4C3A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6"/>
  </w:num>
  <w:num w:numId="5">
    <w:abstractNumId w:val="7"/>
  </w:num>
  <w:num w:numId="6">
    <w:abstractNumId w:val="3"/>
  </w:num>
  <w:num w:numId="7">
    <w:abstractNumId w:val="11"/>
  </w:num>
  <w:num w:numId="8">
    <w:abstractNumId w:val="0"/>
  </w:num>
  <w:num w:numId="9">
    <w:abstractNumId w:val="4"/>
  </w:num>
  <w:num w:numId="10">
    <w:abstractNumId w:val="10"/>
  </w:num>
  <w:num w:numId="11">
    <w:abstractNumId w:val="1"/>
  </w:num>
  <w:num w:numId="12">
    <w:abstractNumId w:val="5"/>
  </w:num>
  <w:num w:numId="13">
    <w:abstractNumId w:val="2"/>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3F"/>
    <w:rsid w:val="00004059"/>
    <w:rsid w:val="00004E1C"/>
    <w:rsid w:val="000431E9"/>
    <w:rsid w:val="00072354"/>
    <w:rsid w:val="00094483"/>
    <w:rsid w:val="000A0498"/>
    <w:rsid w:val="000B2984"/>
    <w:rsid w:val="00112468"/>
    <w:rsid w:val="001342FF"/>
    <w:rsid w:val="0015111D"/>
    <w:rsid w:val="00162A51"/>
    <w:rsid w:val="0018355A"/>
    <w:rsid w:val="00192A38"/>
    <w:rsid w:val="001C75E0"/>
    <w:rsid w:val="001F51D4"/>
    <w:rsid w:val="002117D8"/>
    <w:rsid w:val="002128E1"/>
    <w:rsid w:val="00283DD3"/>
    <w:rsid w:val="002C4160"/>
    <w:rsid w:val="002D22C5"/>
    <w:rsid w:val="00300071"/>
    <w:rsid w:val="00304DAB"/>
    <w:rsid w:val="0030649D"/>
    <w:rsid w:val="00357D68"/>
    <w:rsid w:val="00361539"/>
    <w:rsid w:val="003940C2"/>
    <w:rsid w:val="00394C56"/>
    <w:rsid w:val="003A16C0"/>
    <w:rsid w:val="003B683E"/>
    <w:rsid w:val="003D4EEA"/>
    <w:rsid w:val="003D7F66"/>
    <w:rsid w:val="004157EF"/>
    <w:rsid w:val="00453565"/>
    <w:rsid w:val="00462D3A"/>
    <w:rsid w:val="00463139"/>
    <w:rsid w:val="00471B6B"/>
    <w:rsid w:val="004A4303"/>
    <w:rsid w:val="004B2C5F"/>
    <w:rsid w:val="004C7DF2"/>
    <w:rsid w:val="004D0CC1"/>
    <w:rsid w:val="004E0A9D"/>
    <w:rsid w:val="004E5F3E"/>
    <w:rsid w:val="0052078B"/>
    <w:rsid w:val="00520A0A"/>
    <w:rsid w:val="00532CD7"/>
    <w:rsid w:val="00537A5E"/>
    <w:rsid w:val="005452DD"/>
    <w:rsid w:val="00575DB6"/>
    <w:rsid w:val="0057796B"/>
    <w:rsid w:val="00577B47"/>
    <w:rsid w:val="005B70AF"/>
    <w:rsid w:val="005D6AE7"/>
    <w:rsid w:val="00615C97"/>
    <w:rsid w:val="00645F4A"/>
    <w:rsid w:val="0066163B"/>
    <w:rsid w:val="0066214A"/>
    <w:rsid w:val="00685B2E"/>
    <w:rsid w:val="00691309"/>
    <w:rsid w:val="00691EEC"/>
    <w:rsid w:val="00696203"/>
    <w:rsid w:val="006C06FE"/>
    <w:rsid w:val="00745677"/>
    <w:rsid w:val="00796517"/>
    <w:rsid w:val="007A3DBD"/>
    <w:rsid w:val="007B5314"/>
    <w:rsid w:val="007C5358"/>
    <w:rsid w:val="00817094"/>
    <w:rsid w:val="00825B99"/>
    <w:rsid w:val="00826FC8"/>
    <w:rsid w:val="0084660C"/>
    <w:rsid w:val="008A08B7"/>
    <w:rsid w:val="008B4702"/>
    <w:rsid w:val="009200EE"/>
    <w:rsid w:val="00972185"/>
    <w:rsid w:val="0097563A"/>
    <w:rsid w:val="00980E4C"/>
    <w:rsid w:val="00996578"/>
    <w:rsid w:val="009A7D84"/>
    <w:rsid w:val="009B47D0"/>
    <w:rsid w:val="009D0584"/>
    <w:rsid w:val="009F17F9"/>
    <w:rsid w:val="00A5428E"/>
    <w:rsid w:val="00A57186"/>
    <w:rsid w:val="00A61D83"/>
    <w:rsid w:val="00A83BD1"/>
    <w:rsid w:val="00A9040F"/>
    <w:rsid w:val="00B47F55"/>
    <w:rsid w:val="00B50613"/>
    <w:rsid w:val="00BD13F1"/>
    <w:rsid w:val="00C174CA"/>
    <w:rsid w:val="00C21588"/>
    <w:rsid w:val="00C44A49"/>
    <w:rsid w:val="00C64743"/>
    <w:rsid w:val="00C660F9"/>
    <w:rsid w:val="00C76DDB"/>
    <w:rsid w:val="00C802C1"/>
    <w:rsid w:val="00C8423B"/>
    <w:rsid w:val="00CE3DB8"/>
    <w:rsid w:val="00D640BB"/>
    <w:rsid w:val="00D8341F"/>
    <w:rsid w:val="00DA133F"/>
    <w:rsid w:val="00DA6BD1"/>
    <w:rsid w:val="00DC7625"/>
    <w:rsid w:val="00DE0323"/>
    <w:rsid w:val="00DF0ADF"/>
    <w:rsid w:val="00E04A9B"/>
    <w:rsid w:val="00E41B54"/>
    <w:rsid w:val="00E61146"/>
    <w:rsid w:val="00E7102E"/>
    <w:rsid w:val="00EE1F5B"/>
    <w:rsid w:val="00EE7B5A"/>
    <w:rsid w:val="00F44C56"/>
    <w:rsid w:val="00FD0A69"/>
    <w:rsid w:val="00FF236F"/>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1653"/>
  <w15:chartTrackingRefBased/>
  <w15:docId w15:val="{9F4F7208-F7E3-4FE1-954E-7549A8D1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3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1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04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13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133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A133F"/>
    <w:pPr>
      <w:spacing w:after="0" w:line="240" w:lineRule="auto"/>
      <w:ind w:left="720"/>
    </w:pPr>
    <w:rPr>
      <w:rFonts w:ascii="Calibri" w:hAnsi="Calibri" w:cs="Times New Roman"/>
    </w:rPr>
  </w:style>
  <w:style w:type="character" w:customStyle="1" w:styleId="Heading3Char">
    <w:name w:val="Heading 3 Char"/>
    <w:basedOn w:val="DefaultParagraphFont"/>
    <w:link w:val="Heading3"/>
    <w:uiPriority w:val="9"/>
    <w:rsid w:val="000A0498"/>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8355A"/>
  </w:style>
  <w:style w:type="character" w:styleId="Hyperlink">
    <w:name w:val="Hyperlink"/>
    <w:basedOn w:val="DefaultParagraphFont"/>
    <w:uiPriority w:val="99"/>
    <w:unhideWhenUsed/>
    <w:rsid w:val="0018355A"/>
    <w:rPr>
      <w:color w:val="0000FF"/>
      <w:u w:val="single"/>
    </w:rPr>
  </w:style>
  <w:style w:type="paragraph" w:styleId="BalloonText">
    <w:name w:val="Balloon Text"/>
    <w:basedOn w:val="Normal"/>
    <w:link w:val="BalloonTextChar"/>
    <w:uiPriority w:val="99"/>
    <w:semiHidden/>
    <w:unhideWhenUsed/>
    <w:rsid w:val="00826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C8"/>
    <w:rPr>
      <w:rFonts w:ascii="Segoe UI" w:hAnsi="Segoe UI" w:cs="Segoe UI"/>
      <w:sz w:val="18"/>
      <w:szCs w:val="18"/>
    </w:rPr>
  </w:style>
  <w:style w:type="character" w:styleId="CommentReference">
    <w:name w:val="annotation reference"/>
    <w:basedOn w:val="DefaultParagraphFont"/>
    <w:uiPriority w:val="99"/>
    <w:semiHidden/>
    <w:unhideWhenUsed/>
    <w:rsid w:val="00FF236F"/>
    <w:rPr>
      <w:sz w:val="16"/>
      <w:szCs w:val="16"/>
    </w:rPr>
  </w:style>
  <w:style w:type="paragraph" w:styleId="CommentText">
    <w:name w:val="annotation text"/>
    <w:basedOn w:val="Normal"/>
    <w:link w:val="CommentTextChar"/>
    <w:uiPriority w:val="99"/>
    <w:semiHidden/>
    <w:unhideWhenUsed/>
    <w:rsid w:val="00FF236F"/>
    <w:pPr>
      <w:spacing w:line="240" w:lineRule="auto"/>
    </w:pPr>
    <w:rPr>
      <w:sz w:val="20"/>
      <w:szCs w:val="20"/>
    </w:rPr>
  </w:style>
  <w:style w:type="character" w:customStyle="1" w:styleId="CommentTextChar">
    <w:name w:val="Comment Text Char"/>
    <w:basedOn w:val="DefaultParagraphFont"/>
    <w:link w:val="CommentText"/>
    <w:uiPriority w:val="99"/>
    <w:semiHidden/>
    <w:rsid w:val="00FF236F"/>
    <w:rPr>
      <w:sz w:val="20"/>
      <w:szCs w:val="20"/>
    </w:rPr>
  </w:style>
  <w:style w:type="paragraph" w:styleId="CommentSubject">
    <w:name w:val="annotation subject"/>
    <w:basedOn w:val="CommentText"/>
    <w:next w:val="CommentText"/>
    <w:link w:val="CommentSubjectChar"/>
    <w:uiPriority w:val="99"/>
    <w:semiHidden/>
    <w:unhideWhenUsed/>
    <w:rsid w:val="00FF236F"/>
    <w:rPr>
      <w:b/>
      <w:bCs/>
    </w:rPr>
  </w:style>
  <w:style w:type="character" w:customStyle="1" w:styleId="CommentSubjectChar">
    <w:name w:val="Comment Subject Char"/>
    <w:basedOn w:val="CommentTextChar"/>
    <w:link w:val="CommentSubject"/>
    <w:uiPriority w:val="99"/>
    <w:semiHidden/>
    <w:rsid w:val="00FF23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3086">
      <w:bodyDiv w:val="1"/>
      <w:marLeft w:val="0"/>
      <w:marRight w:val="0"/>
      <w:marTop w:val="0"/>
      <w:marBottom w:val="0"/>
      <w:divBdr>
        <w:top w:val="none" w:sz="0" w:space="0" w:color="auto"/>
        <w:left w:val="none" w:sz="0" w:space="0" w:color="auto"/>
        <w:bottom w:val="none" w:sz="0" w:space="0" w:color="auto"/>
        <w:right w:val="none" w:sz="0" w:space="0" w:color="auto"/>
      </w:divBdr>
    </w:div>
    <w:div w:id="1719666270">
      <w:bodyDiv w:val="1"/>
      <w:marLeft w:val="0"/>
      <w:marRight w:val="0"/>
      <w:marTop w:val="0"/>
      <w:marBottom w:val="0"/>
      <w:divBdr>
        <w:top w:val="none" w:sz="0" w:space="0" w:color="auto"/>
        <w:left w:val="none" w:sz="0" w:space="0" w:color="auto"/>
        <w:bottom w:val="none" w:sz="0" w:space="0" w:color="auto"/>
        <w:right w:val="none" w:sz="0" w:space="0" w:color="auto"/>
      </w:divBdr>
    </w:div>
    <w:div w:id="17833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google.com"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s://guides.instructure.com/m/4214/l/218818-how-do-i-set-a-time-zone-in-my-user-account" TargetMode="External"/><Relationship Id="rId17" Type="http://schemas.openxmlformats.org/officeDocument/2006/relationships/hyperlink" Target="http://www.google.com" TargetMode="External"/><Relationship Id="rId2" Type="http://schemas.openxmlformats.org/officeDocument/2006/relationships/styles" Target="styles.xml"/><Relationship Id="rId16" Type="http://schemas.openxmlformats.org/officeDocument/2006/relationships/hyperlink" Target="http://www.googl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hyperlink" Target="https://virtualcampus.instructure.com/courses/89" TargetMode="External"/><Relationship Id="rId15" Type="http://schemas.openxmlformats.org/officeDocument/2006/relationships/hyperlink" Target="http://www.google.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Wisseman</dc:creator>
  <cp:keywords/>
  <dc:description/>
  <cp:lastModifiedBy>Nicholas Wisseman</cp:lastModifiedBy>
  <cp:revision>8</cp:revision>
  <dcterms:created xsi:type="dcterms:W3CDTF">2016-11-08T21:30:00Z</dcterms:created>
  <dcterms:modified xsi:type="dcterms:W3CDTF">2016-11-11T17:55:00Z</dcterms:modified>
</cp:coreProperties>
</file>