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45" w:rsidRPr="00BA0C77" w:rsidRDefault="00BA0C77" w:rsidP="004D3D82">
      <w:pPr>
        <w:rPr>
          <w:b/>
          <w:i/>
          <w:u w:val="single"/>
        </w:rPr>
      </w:pPr>
      <w:r w:rsidRPr="00BA0C77">
        <w:rPr>
          <w:b/>
          <w:i/>
          <w:u w:val="single"/>
        </w:rPr>
        <w:t>Who is covered?</w:t>
      </w:r>
    </w:p>
    <w:p w:rsidR="00BA0C77" w:rsidRDefault="00BA0C77" w:rsidP="004D3D82">
      <w:pPr>
        <w:pStyle w:val="ListParagraph"/>
        <w:ind w:left="0"/>
      </w:pPr>
      <w:r>
        <w:t>Coverage is universal</w:t>
      </w:r>
    </w:p>
    <w:p w:rsidR="00BA0C77" w:rsidRDefault="00BA0C77" w:rsidP="004D3D82">
      <w:pPr>
        <w:pStyle w:val="ListParagraph"/>
      </w:pPr>
    </w:p>
    <w:p w:rsidR="00BA0C77" w:rsidRDefault="00BA0C77" w:rsidP="004D3D82">
      <w:pPr>
        <w:pStyle w:val="ListParagraph"/>
        <w:ind w:left="0"/>
      </w:pPr>
      <w:proofErr w:type="gramStart"/>
      <w:r>
        <w:t>All those</w:t>
      </w:r>
      <w:proofErr w:type="gramEnd"/>
      <w:r>
        <w:t xml:space="preserve"> ‘ordinary resident’ in the United Kingdom are entitled to health care that is largely free at the point of use</w:t>
      </w:r>
    </w:p>
    <w:p w:rsidR="00BA0C77" w:rsidRDefault="00BA0C77" w:rsidP="004D3D82">
      <w:pPr>
        <w:pStyle w:val="ListParagraph"/>
        <w:ind w:left="0"/>
      </w:pPr>
    </w:p>
    <w:p w:rsidR="00BA0C77" w:rsidRDefault="00BA0C77" w:rsidP="004D3D82">
      <w:pPr>
        <w:pStyle w:val="ListParagraph"/>
        <w:ind w:left="0"/>
      </w:pPr>
    </w:p>
    <w:p w:rsidR="00BA0C77" w:rsidRPr="00BA0C77" w:rsidRDefault="00BA0C77" w:rsidP="004D3D82">
      <w:pPr>
        <w:pStyle w:val="ListParagraph"/>
        <w:ind w:left="0"/>
        <w:rPr>
          <w:b/>
          <w:i/>
          <w:u w:val="single"/>
        </w:rPr>
      </w:pPr>
      <w:r w:rsidRPr="00BA0C77">
        <w:rPr>
          <w:b/>
          <w:i/>
          <w:u w:val="single"/>
        </w:rPr>
        <w:t>What is covered?</w:t>
      </w:r>
    </w:p>
    <w:p w:rsidR="00BA0C77" w:rsidRPr="004D3D82" w:rsidRDefault="00BA0C77" w:rsidP="004D3D82">
      <w:pPr>
        <w:rPr>
          <w:i/>
        </w:rPr>
      </w:pPr>
      <w:r w:rsidRPr="004D3D82">
        <w:rPr>
          <w:i/>
        </w:rPr>
        <w:t>Services</w:t>
      </w:r>
      <w:r w:rsidR="004D3D82">
        <w:rPr>
          <w:i/>
        </w:rPr>
        <w:t>:</w:t>
      </w:r>
    </w:p>
    <w:p w:rsidR="004D3D82" w:rsidRDefault="00BA0C77" w:rsidP="004D3D82">
      <w:r>
        <w:t>The National Health Service (NHS) covers</w:t>
      </w:r>
      <w:r w:rsidR="004D3D82">
        <w:t>:</w:t>
      </w:r>
    </w:p>
    <w:p w:rsidR="00BA0C77" w:rsidRDefault="004D3D82" w:rsidP="004D3D82">
      <w:pPr>
        <w:pStyle w:val="ListParagraph"/>
        <w:numPr>
          <w:ilvl w:val="0"/>
          <w:numId w:val="2"/>
        </w:numPr>
      </w:pPr>
      <w:r>
        <w:t>P</w:t>
      </w:r>
      <w:r w:rsidR="00BA0C77">
        <w:t>reventative services</w:t>
      </w:r>
    </w:p>
    <w:p w:rsidR="004D3D82" w:rsidRDefault="004D3D82" w:rsidP="004D3D82">
      <w:pPr>
        <w:pStyle w:val="ListParagraph"/>
        <w:numPr>
          <w:ilvl w:val="0"/>
          <w:numId w:val="2"/>
        </w:numPr>
      </w:pPr>
      <w:r>
        <w:t>Physician services</w:t>
      </w:r>
    </w:p>
    <w:p w:rsidR="004D3D82" w:rsidRDefault="004D3D82" w:rsidP="004D3D82">
      <w:pPr>
        <w:pStyle w:val="ListParagraph"/>
        <w:numPr>
          <w:ilvl w:val="0"/>
          <w:numId w:val="2"/>
        </w:numPr>
      </w:pPr>
      <w:r>
        <w:t>Inpatient and outpatient drugs</w:t>
      </w:r>
    </w:p>
    <w:p w:rsidR="004D3D82" w:rsidRDefault="004D3D82" w:rsidP="004D3D82">
      <w:pPr>
        <w:pStyle w:val="ListParagraph"/>
        <w:numPr>
          <w:ilvl w:val="0"/>
          <w:numId w:val="2"/>
        </w:numPr>
      </w:pPr>
      <w:r>
        <w:t>Dental care</w:t>
      </w:r>
    </w:p>
    <w:p w:rsidR="004D3D82" w:rsidRDefault="004D3D82" w:rsidP="004D3D82">
      <w:pPr>
        <w:pStyle w:val="ListParagraph"/>
        <w:numPr>
          <w:ilvl w:val="0"/>
          <w:numId w:val="2"/>
        </w:numPr>
      </w:pPr>
      <w:r>
        <w:t>Mental health care</w:t>
      </w:r>
    </w:p>
    <w:p w:rsidR="004D3D82" w:rsidRDefault="004D3D82" w:rsidP="004D3D82">
      <w:pPr>
        <w:pStyle w:val="ListParagraph"/>
        <w:numPr>
          <w:ilvl w:val="0"/>
          <w:numId w:val="2"/>
        </w:numPr>
      </w:pPr>
      <w:r>
        <w:t>Learning disabilities</w:t>
      </w:r>
    </w:p>
    <w:p w:rsidR="004D3D82" w:rsidRDefault="004D3D82" w:rsidP="004D3D82">
      <w:pPr>
        <w:pStyle w:val="ListParagraph"/>
        <w:numPr>
          <w:ilvl w:val="0"/>
          <w:numId w:val="2"/>
        </w:numPr>
      </w:pPr>
      <w:r>
        <w:t>Rehabilitation</w:t>
      </w:r>
    </w:p>
    <w:p w:rsidR="004D3D82" w:rsidRDefault="004D3D82" w:rsidP="004D3D82">
      <w:pPr>
        <w:pStyle w:val="ListParagraph"/>
      </w:pPr>
    </w:p>
    <w:p w:rsidR="004D3D82" w:rsidRPr="004D3D82" w:rsidRDefault="004D3D82" w:rsidP="004D3D82">
      <w:pPr>
        <w:rPr>
          <w:i/>
        </w:rPr>
      </w:pPr>
      <w:r w:rsidRPr="004D3D82">
        <w:rPr>
          <w:i/>
        </w:rPr>
        <w:t>Cost sharing</w:t>
      </w:r>
      <w:r>
        <w:rPr>
          <w:i/>
        </w:rPr>
        <w:t>:</w:t>
      </w:r>
    </w:p>
    <w:p w:rsidR="004D3D82" w:rsidRDefault="004D3D82" w:rsidP="004D3D82">
      <w:r>
        <w:t>There are relatively few cost-sharing arrangements for publicly-covered services</w:t>
      </w:r>
    </w:p>
    <w:p w:rsidR="004D3D82" w:rsidRDefault="004D3D82" w:rsidP="004D3D82">
      <w:r>
        <w:t>Out-of-pocket payments accounted for 11.9% of total expenditure on health in 2005</w:t>
      </w:r>
    </w:p>
    <w:p w:rsidR="004D3D82" w:rsidRDefault="004D3D82" w:rsidP="004D3D82"/>
    <w:p w:rsidR="004D3D82" w:rsidRPr="004D3D82" w:rsidRDefault="004D3D82" w:rsidP="004D3D82">
      <w:pPr>
        <w:rPr>
          <w:i/>
        </w:rPr>
      </w:pPr>
      <w:r w:rsidRPr="004D3D82">
        <w:rPr>
          <w:i/>
        </w:rPr>
        <w:t>Safety nets:</w:t>
      </w:r>
    </w:p>
    <w:p w:rsidR="004D3D82" w:rsidRDefault="004D3D82" w:rsidP="004D3D82">
      <w:r>
        <w:t>Most costs are met from the public purse</w:t>
      </w:r>
    </w:p>
    <w:p w:rsidR="004D3D82" w:rsidRDefault="004D3D82" w:rsidP="004D3D82">
      <w:r>
        <w:t>There are measures in place to alleviate costs where these may have an undue impact on certain patient groups</w:t>
      </w:r>
    </w:p>
    <w:p w:rsidR="004D3D82" w:rsidRDefault="004D3D82" w:rsidP="004D3D82"/>
    <w:p w:rsidR="006E0983" w:rsidRDefault="006E0983" w:rsidP="004D3D82">
      <w:pPr>
        <w:rPr>
          <w:b/>
          <w:i/>
          <w:u w:val="single"/>
        </w:rPr>
      </w:pPr>
    </w:p>
    <w:p w:rsidR="006E0983" w:rsidRDefault="006E0983" w:rsidP="004D3D82">
      <w:pPr>
        <w:rPr>
          <w:b/>
          <w:i/>
          <w:u w:val="single"/>
        </w:rPr>
      </w:pPr>
    </w:p>
    <w:p w:rsidR="006E0983" w:rsidRDefault="006E0983" w:rsidP="004D3D82">
      <w:pPr>
        <w:rPr>
          <w:b/>
          <w:i/>
          <w:u w:val="single"/>
        </w:rPr>
      </w:pPr>
    </w:p>
    <w:p w:rsidR="006E0983" w:rsidRDefault="006E0983" w:rsidP="004D3D82">
      <w:pPr>
        <w:rPr>
          <w:b/>
          <w:i/>
          <w:u w:val="single"/>
        </w:rPr>
      </w:pPr>
    </w:p>
    <w:p w:rsidR="004D3D82" w:rsidRPr="004D3D82" w:rsidRDefault="004D3D82" w:rsidP="004D3D82">
      <w:pPr>
        <w:rPr>
          <w:b/>
          <w:i/>
          <w:u w:val="single"/>
        </w:rPr>
      </w:pPr>
      <w:r w:rsidRPr="004D3D82">
        <w:rPr>
          <w:b/>
          <w:i/>
          <w:u w:val="single"/>
        </w:rPr>
        <w:lastRenderedPageBreak/>
        <w:t>How is the health care system financed?</w:t>
      </w:r>
    </w:p>
    <w:p w:rsidR="006E0983" w:rsidRDefault="004D3D82" w:rsidP="004D3D82">
      <w:pPr>
        <w:pStyle w:val="ListParagraph"/>
        <w:ind w:left="0"/>
        <w:rPr>
          <w:i/>
        </w:rPr>
      </w:pPr>
      <w:r w:rsidRPr="006E0983">
        <w:rPr>
          <w:i/>
        </w:rPr>
        <w:t>NHS</w:t>
      </w:r>
      <w:r w:rsidR="006E0983">
        <w:rPr>
          <w:i/>
        </w:rPr>
        <w:t>:</w:t>
      </w:r>
    </w:p>
    <w:p w:rsidR="006E0983" w:rsidRDefault="006E0983" w:rsidP="004D3D82">
      <w:pPr>
        <w:pStyle w:val="ListParagraph"/>
        <w:ind w:left="0"/>
      </w:pPr>
      <w:r>
        <w:t>F</w:t>
      </w:r>
      <w:r w:rsidR="004D3D82">
        <w:t>unded by</w:t>
      </w:r>
      <w:r>
        <w:t>:</w:t>
      </w:r>
    </w:p>
    <w:p w:rsidR="004D3D82" w:rsidRDefault="004D3D82" w:rsidP="006E0983">
      <w:pPr>
        <w:pStyle w:val="ListParagraph"/>
        <w:numPr>
          <w:ilvl w:val="0"/>
          <w:numId w:val="2"/>
        </w:numPr>
      </w:pPr>
      <w:r>
        <w:t xml:space="preserve"> </w:t>
      </w:r>
      <w:r w:rsidR="006E0983">
        <w:t>G</w:t>
      </w:r>
      <w:r>
        <w:t>eneral taxation (76%)</w:t>
      </w:r>
    </w:p>
    <w:p w:rsidR="004D3D82" w:rsidRDefault="006E0983" w:rsidP="006E0983">
      <w:pPr>
        <w:pStyle w:val="ListParagraph"/>
        <w:numPr>
          <w:ilvl w:val="0"/>
          <w:numId w:val="2"/>
        </w:numPr>
      </w:pPr>
      <w:r>
        <w:t>National insurance contributions (19%)</w:t>
      </w:r>
    </w:p>
    <w:p w:rsidR="004D3D82" w:rsidRDefault="006E0983" w:rsidP="006E0983">
      <w:pPr>
        <w:pStyle w:val="ListParagraph"/>
        <w:numPr>
          <w:ilvl w:val="0"/>
          <w:numId w:val="2"/>
        </w:numPr>
      </w:pPr>
      <w:r>
        <w:t>User charges</w:t>
      </w:r>
    </w:p>
    <w:p w:rsidR="006E0983" w:rsidRDefault="006E0983" w:rsidP="006E0983">
      <w:pPr>
        <w:pStyle w:val="ListParagraph"/>
        <w:ind w:left="0"/>
      </w:pPr>
    </w:p>
    <w:p w:rsidR="006E0983" w:rsidRPr="006E0983" w:rsidRDefault="006E0983" w:rsidP="006E0983">
      <w:pPr>
        <w:pStyle w:val="ListParagraph"/>
        <w:ind w:left="0"/>
        <w:rPr>
          <w:i/>
        </w:rPr>
      </w:pPr>
      <w:r w:rsidRPr="006E0983">
        <w:rPr>
          <w:i/>
        </w:rPr>
        <w:t>Private Health Insurance:</w:t>
      </w:r>
    </w:p>
    <w:p w:rsidR="00BA0C77" w:rsidRDefault="006E0983" w:rsidP="004D3D82">
      <w:r>
        <w:t>A mix of for-profit and not-for-profit insurers provide supplementary private insurance</w:t>
      </w:r>
    </w:p>
    <w:p w:rsidR="006E0983" w:rsidRDefault="006E0983" w:rsidP="006E0983">
      <w:pPr>
        <w:pStyle w:val="ListParagraph"/>
        <w:numPr>
          <w:ilvl w:val="0"/>
          <w:numId w:val="2"/>
        </w:numPr>
      </w:pPr>
      <w:r>
        <w:t>It covers 12% of the population and accounts for 1% of the total health expenditure</w:t>
      </w:r>
    </w:p>
    <w:p w:rsidR="006E0983" w:rsidRDefault="006E0983" w:rsidP="006E0983">
      <w:pPr>
        <w:pStyle w:val="ListParagraph"/>
        <w:ind w:left="0"/>
      </w:pPr>
    </w:p>
    <w:p w:rsidR="006E0983" w:rsidRPr="006E0983" w:rsidRDefault="006E0983" w:rsidP="006E0983">
      <w:pPr>
        <w:pStyle w:val="ListParagraph"/>
        <w:ind w:left="0"/>
        <w:rPr>
          <w:i/>
        </w:rPr>
      </w:pPr>
      <w:r w:rsidRPr="006E0983">
        <w:rPr>
          <w:i/>
        </w:rPr>
        <w:t>Other:</w:t>
      </w:r>
    </w:p>
    <w:p w:rsidR="006E0983" w:rsidRDefault="006E0983" w:rsidP="006E0983">
      <w:pPr>
        <w:pStyle w:val="ListParagraph"/>
        <w:ind w:left="0"/>
      </w:pPr>
      <w:r>
        <w:t>Out-of-pocket in the private sector accounts for over 90% of total private expenditure on health</w:t>
      </w:r>
    </w:p>
    <w:p w:rsidR="006E0983" w:rsidRDefault="006E0983" w:rsidP="006E0983">
      <w:pPr>
        <w:pStyle w:val="ListParagraph"/>
        <w:ind w:left="0"/>
      </w:pPr>
    </w:p>
    <w:p w:rsidR="00BA0C77" w:rsidRDefault="00BA0C77" w:rsidP="004D3D82"/>
    <w:sectPr w:rsidR="00BA0C77" w:rsidSect="00381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500E2"/>
    <w:multiLevelType w:val="hybridMultilevel"/>
    <w:tmpl w:val="013A5C88"/>
    <w:lvl w:ilvl="0" w:tplc="F8B6FB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165161"/>
    <w:multiLevelType w:val="hybridMultilevel"/>
    <w:tmpl w:val="78C6AA10"/>
    <w:lvl w:ilvl="0" w:tplc="7F3C8E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0C77"/>
    <w:rsid w:val="002B4E1E"/>
    <w:rsid w:val="00381B48"/>
    <w:rsid w:val="003E2270"/>
    <w:rsid w:val="004D3D82"/>
    <w:rsid w:val="006C10E5"/>
    <w:rsid w:val="006E0983"/>
    <w:rsid w:val="00951B17"/>
    <w:rsid w:val="00BA0C77"/>
    <w:rsid w:val="00E20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C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2012-01-31T01:25:00Z</dcterms:created>
  <dcterms:modified xsi:type="dcterms:W3CDTF">2012-01-31T01:52:00Z</dcterms:modified>
</cp:coreProperties>
</file>