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D646A">
        <w:rPr>
          <w:color w:val="FF0000"/>
        </w:rPr>
        <w:t>Taylor Fitzwater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646A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4D646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4D646A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-Recognized pt was SOB, but did not seek further information. 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646A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4D646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646A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4D646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07067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  <w:r w:rsidR="00D5549C">
              <w:rPr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 </w:t>
            </w:r>
          </w:p>
          <w:p w:rsidR="004D646A" w:rsidRPr="00DA5F72" w:rsidRDefault="004D646A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-Assessed pt, but interventions could have been prioritized more efficiently.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05CF0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05CF0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F41277">
              <w:rPr>
                <w:color w:val="FF0000"/>
              </w:rPr>
              <w:t xml:space="preserve">Nice job with </w:t>
            </w:r>
            <w:r w:rsidR="00305CF0">
              <w:rPr>
                <w:color w:val="FF0000"/>
              </w:rPr>
              <w:t>stroke education.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4D646A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Taylor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637A5"/>
    <w:rsid w:val="00EA3537"/>
    <w:rsid w:val="00F22FD2"/>
    <w:rsid w:val="00F41277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2013-03-08T02:22:00Z</dcterms:created>
  <dcterms:modified xsi:type="dcterms:W3CDTF">2013-03-08T02:22:00Z</dcterms:modified>
</cp:coreProperties>
</file>