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3F2" w:rsidRDefault="000463F2" w:rsidP="000463F2">
      <w:pPr>
        <w:jc w:val="center"/>
        <w:rPr>
          <w:rFonts w:ascii="Comic Sans MS" w:hAnsi="Comic Sans MS"/>
          <w:b/>
          <w:sz w:val="20"/>
          <w:szCs w:val="20"/>
        </w:rPr>
      </w:pPr>
      <w:r w:rsidRPr="006D61A9">
        <w:rPr>
          <w:rFonts w:ascii="Comic Sans MS" w:hAnsi="Comic Sans MS"/>
          <w:b/>
          <w:sz w:val="20"/>
          <w:szCs w:val="20"/>
        </w:rPr>
        <w:t xml:space="preserve">Guide to the care of the hospitalized patient with ischemic </w:t>
      </w:r>
      <w:r w:rsidRPr="006D61A9">
        <w:rPr>
          <w:rStyle w:val="fthighlight"/>
          <w:rFonts w:ascii="Comic Sans MS" w:hAnsi="Comic Sans MS"/>
          <w:b/>
          <w:sz w:val="20"/>
          <w:szCs w:val="20"/>
        </w:rPr>
        <w:t>stroke</w:t>
      </w:r>
      <w:r w:rsidRPr="006D61A9">
        <w:rPr>
          <w:rFonts w:ascii="Comic Sans MS" w:hAnsi="Comic Sans MS"/>
          <w:b/>
          <w:sz w:val="20"/>
          <w:szCs w:val="20"/>
        </w:rPr>
        <w:t xml:space="preserve">. </w:t>
      </w:r>
      <w:proofErr w:type="gramStart"/>
      <w:r w:rsidRPr="006D61A9">
        <w:rPr>
          <w:rFonts w:ascii="Comic Sans MS" w:hAnsi="Comic Sans MS"/>
          <w:b/>
          <w:sz w:val="20"/>
          <w:szCs w:val="20"/>
        </w:rPr>
        <w:t>2nd edition.</w:t>
      </w:r>
      <w:proofErr w:type="gramEnd"/>
    </w:p>
    <w:p w:rsidR="000463F2" w:rsidRDefault="000463F2" w:rsidP="000463F2">
      <w:pPr>
        <w:jc w:val="center"/>
        <w:rPr>
          <w:rFonts w:ascii="Comic Sans MS" w:hAnsi="Comic Sans MS"/>
          <w:b/>
          <w:sz w:val="20"/>
          <w:szCs w:val="20"/>
        </w:rPr>
      </w:pPr>
      <w:hyperlink r:id="rId5" w:history="1">
        <w:r w:rsidRPr="006D61A9">
          <w:rPr>
            <w:rStyle w:val="Hyperlink"/>
            <w:rFonts w:ascii="Comic Sans MS" w:hAnsi="Comic Sans MS"/>
            <w:b/>
            <w:sz w:val="20"/>
            <w:szCs w:val="20"/>
          </w:rPr>
          <w:t>http://www.guideline.gov/content.aspx?id=13575&amp;search=stroke#top</w:t>
        </w:r>
      </w:hyperlink>
    </w:p>
    <w:p w:rsidR="000463F2" w:rsidRDefault="000463F2" w:rsidP="000463F2">
      <w:pPr>
        <w:jc w:val="center"/>
        <w:rPr>
          <w:rFonts w:ascii="Comic Sans MS" w:hAnsi="Comic Sans MS"/>
          <w:b/>
          <w:sz w:val="20"/>
          <w:szCs w:val="20"/>
        </w:rPr>
      </w:pPr>
    </w:p>
    <w:p w:rsidR="000463F2" w:rsidRPr="006D61A9" w:rsidRDefault="000463F2" w:rsidP="000463F2">
      <w:pPr>
        <w:autoSpaceDE w:val="0"/>
        <w:autoSpaceDN w:val="0"/>
        <w:adjustRightInd w:val="0"/>
        <w:jc w:val="left"/>
        <w:rPr>
          <w:rFonts w:ascii="Comic Sans MS" w:hAnsi="Comic Sans MS" w:cs="Verdana"/>
          <w:b/>
          <w:bCs/>
          <w:color w:val="2C5454"/>
          <w:sz w:val="16"/>
          <w:szCs w:val="16"/>
          <w:u w:val="single"/>
        </w:rPr>
      </w:pPr>
      <w:r w:rsidRPr="006D61A9">
        <w:rPr>
          <w:rFonts w:ascii="Comic Sans MS" w:hAnsi="Comic Sans MS" w:cs="Verdana"/>
          <w:b/>
          <w:bCs/>
          <w:color w:val="2C5454"/>
          <w:sz w:val="16"/>
          <w:szCs w:val="16"/>
          <w:u w:val="single"/>
        </w:rPr>
        <w:t>Rating Scheme for the Strength of the Evidence</w:t>
      </w:r>
    </w:p>
    <w:p w:rsidR="000463F2" w:rsidRPr="006D61A9" w:rsidRDefault="000463F2" w:rsidP="000463F2">
      <w:pPr>
        <w:autoSpaceDE w:val="0"/>
        <w:autoSpaceDN w:val="0"/>
        <w:adjustRightInd w:val="0"/>
        <w:jc w:val="left"/>
        <w:rPr>
          <w:rFonts w:ascii="Comic Sans MS" w:hAnsi="Comic Sans MS" w:cs="Verdana"/>
          <w:b/>
          <w:bCs/>
          <w:color w:val="333333"/>
          <w:sz w:val="16"/>
          <w:szCs w:val="16"/>
          <w:u w:val="single"/>
        </w:rPr>
      </w:pPr>
      <w:r w:rsidRPr="006D61A9">
        <w:rPr>
          <w:rFonts w:ascii="Comic Sans MS" w:hAnsi="Comic Sans MS" w:cs="Verdana"/>
          <w:b/>
          <w:bCs/>
          <w:color w:val="333333"/>
          <w:sz w:val="16"/>
          <w:szCs w:val="16"/>
          <w:u w:val="single"/>
        </w:rPr>
        <w:t>Data Quality Classification</w:t>
      </w:r>
    </w:p>
    <w:p w:rsidR="000463F2" w:rsidRPr="006D61A9" w:rsidRDefault="000463F2" w:rsidP="000463F2">
      <w:pPr>
        <w:autoSpaceDE w:val="0"/>
        <w:autoSpaceDN w:val="0"/>
        <w:adjustRightInd w:val="0"/>
        <w:jc w:val="left"/>
        <w:rPr>
          <w:rFonts w:ascii="Comic Sans MS" w:hAnsi="Comic Sans MS" w:cs="Verdana"/>
          <w:color w:val="333333"/>
          <w:sz w:val="16"/>
          <w:szCs w:val="16"/>
        </w:rPr>
      </w:pPr>
      <w:r w:rsidRPr="006D61A9">
        <w:rPr>
          <w:rFonts w:ascii="Comic Sans MS" w:hAnsi="Comic Sans MS" w:cs="Verdana"/>
          <w:b/>
          <w:bCs/>
          <w:color w:val="333333"/>
          <w:sz w:val="16"/>
          <w:szCs w:val="16"/>
        </w:rPr>
        <w:t>Class I</w:t>
      </w:r>
      <w:r w:rsidRPr="006D61A9">
        <w:rPr>
          <w:rFonts w:ascii="Comic Sans MS" w:hAnsi="Comic Sans MS" w:cs="Verdana"/>
          <w:color w:val="333333"/>
          <w:sz w:val="16"/>
          <w:szCs w:val="16"/>
        </w:rPr>
        <w:t>: Randomized controlled trial without significant limitations or meta-analysis</w:t>
      </w:r>
    </w:p>
    <w:p w:rsidR="000463F2" w:rsidRPr="006D61A9" w:rsidRDefault="000463F2" w:rsidP="000463F2">
      <w:pPr>
        <w:autoSpaceDE w:val="0"/>
        <w:autoSpaceDN w:val="0"/>
        <w:adjustRightInd w:val="0"/>
        <w:jc w:val="left"/>
        <w:rPr>
          <w:rFonts w:ascii="Comic Sans MS" w:hAnsi="Comic Sans MS" w:cs="Verdana"/>
          <w:color w:val="333333"/>
          <w:sz w:val="16"/>
          <w:szCs w:val="16"/>
        </w:rPr>
      </w:pPr>
      <w:r w:rsidRPr="006D61A9">
        <w:rPr>
          <w:rFonts w:ascii="Comic Sans MS" w:hAnsi="Comic Sans MS" w:cs="Verdana"/>
          <w:b/>
          <w:bCs/>
          <w:color w:val="333333"/>
          <w:sz w:val="16"/>
          <w:szCs w:val="16"/>
        </w:rPr>
        <w:t>Class II</w:t>
      </w:r>
      <w:r w:rsidRPr="006D61A9">
        <w:rPr>
          <w:rFonts w:ascii="Comic Sans MS" w:hAnsi="Comic Sans MS" w:cs="Verdana"/>
          <w:color w:val="333333"/>
          <w:sz w:val="16"/>
          <w:szCs w:val="16"/>
        </w:rPr>
        <w:t>: Randomized controlled trial with important limitations (e.g., methodological flaws, inconsistent results);</w:t>
      </w:r>
    </w:p>
    <w:p w:rsidR="000463F2" w:rsidRPr="006D61A9" w:rsidRDefault="000463F2" w:rsidP="000463F2">
      <w:pPr>
        <w:autoSpaceDE w:val="0"/>
        <w:autoSpaceDN w:val="0"/>
        <w:adjustRightInd w:val="0"/>
        <w:jc w:val="left"/>
        <w:rPr>
          <w:rFonts w:ascii="Comic Sans MS" w:hAnsi="Comic Sans MS" w:cs="Verdana"/>
          <w:color w:val="333333"/>
          <w:sz w:val="16"/>
          <w:szCs w:val="16"/>
        </w:rPr>
      </w:pPr>
      <w:proofErr w:type="gramStart"/>
      <w:r w:rsidRPr="006D61A9">
        <w:rPr>
          <w:rFonts w:ascii="Comic Sans MS" w:hAnsi="Comic Sans MS" w:cs="Verdana"/>
          <w:color w:val="333333"/>
          <w:sz w:val="16"/>
          <w:szCs w:val="16"/>
        </w:rPr>
        <w:t>observational</w:t>
      </w:r>
      <w:proofErr w:type="gramEnd"/>
      <w:r w:rsidRPr="006D61A9">
        <w:rPr>
          <w:rFonts w:ascii="Comic Sans MS" w:hAnsi="Comic Sans MS" w:cs="Verdana"/>
          <w:color w:val="333333"/>
          <w:sz w:val="16"/>
          <w:szCs w:val="16"/>
        </w:rPr>
        <w:t xml:space="preserve"> study (e.g., cohort, case control)</w:t>
      </w:r>
    </w:p>
    <w:p w:rsidR="000463F2" w:rsidRPr="006D61A9" w:rsidRDefault="000463F2" w:rsidP="000463F2">
      <w:pPr>
        <w:autoSpaceDE w:val="0"/>
        <w:autoSpaceDN w:val="0"/>
        <w:adjustRightInd w:val="0"/>
        <w:jc w:val="left"/>
        <w:rPr>
          <w:rFonts w:ascii="Comic Sans MS" w:hAnsi="Comic Sans MS" w:cs="Verdana"/>
          <w:color w:val="333333"/>
          <w:sz w:val="16"/>
          <w:szCs w:val="16"/>
        </w:rPr>
      </w:pPr>
      <w:r w:rsidRPr="006D61A9">
        <w:rPr>
          <w:rFonts w:ascii="Comic Sans MS" w:hAnsi="Comic Sans MS" w:cs="Verdana"/>
          <w:b/>
          <w:bCs/>
          <w:color w:val="333333"/>
          <w:sz w:val="16"/>
          <w:szCs w:val="16"/>
        </w:rPr>
        <w:t>Class III</w:t>
      </w:r>
      <w:r w:rsidRPr="006D61A9">
        <w:rPr>
          <w:rFonts w:ascii="Comic Sans MS" w:hAnsi="Comic Sans MS" w:cs="Verdana"/>
          <w:color w:val="333333"/>
          <w:sz w:val="16"/>
          <w:szCs w:val="16"/>
        </w:rPr>
        <w:t>: Qualitative study, case study, or series</w:t>
      </w:r>
    </w:p>
    <w:p w:rsidR="000463F2" w:rsidRPr="006D61A9" w:rsidRDefault="000463F2" w:rsidP="000463F2">
      <w:pPr>
        <w:autoSpaceDE w:val="0"/>
        <w:autoSpaceDN w:val="0"/>
        <w:adjustRightInd w:val="0"/>
        <w:jc w:val="left"/>
        <w:rPr>
          <w:rFonts w:ascii="Comic Sans MS" w:hAnsi="Comic Sans MS" w:cs="Verdana"/>
          <w:color w:val="333333"/>
          <w:sz w:val="16"/>
          <w:szCs w:val="16"/>
        </w:rPr>
      </w:pPr>
      <w:r w:rsidRPr="006D61A9">
        <w:rPr>
          <w:rFonts w:ascii="Comic Sans MS" w:hAnsi="Comic Sans MS" w:cs="Verdana"/>
          <w:b/>
          <w:bCs/>
          <w:color w:val="333333"/>
          <w:sz w:val="16"/>
          <w:szCs w:val="16"/>
        </w:rPr>
        <w:t>Class IV</w:t>
      </w:r>
      <w:r w:rsidRPr="006D61A9">
        <w:rPr>
          <w:rFonts w:ascii="Comic Sans MS" w:hAnsi="Comic Sans MS" w:cs="Verdana"/>
          <w:color w:val="333333"/>
          <w:sz w:val="16"/>
          <w:szCs w:val="16"/>
        </w:rPr>
        <w:t>: Evidence from reports of expert committees and/or expert opinion of the guideline panel, standards of care, and clinical protocols that have been identified</w:t>
      </w:r>
    </w:p>
    <w:p w:rsidR="000463F2" w:rsidRDefault="000463F2" w:rsidP="000463F2">
      <w:pPr>
        <w:rPr>
          <w:rFonts w:ascii="Comic Sans MS" w:hAnsi="Comic Sans MS"/>
          <w:sz w:val="20"/>
          <w:szCs w:val="20"/>
        </w:rPr>
      </w:pPr>
    </w:p>
    <w:p w:rsidR="000463F2" w:rsidRPr="006D61A9" w:rsidRDefault="000463F2" w:rsidP="000463F2">
      <w:pPr>
        <w:autoSpaceDE w:val="0"/>
        <w:autoSpaceDN w:val="0"/>
        <w:adjustRightInd w:val="0"/>
        <w:jc w:val="left"/>
        <w:rPr>
          <w:rFonts w:ascii="Comic Sans MS" w:hAnsi="Comic Sans MS" w:cs="Verdana"/>
          <w:b/>
          <w:bCs/>
          <w:color w:val="2C5454"/>
          <w:sz w:val="16"/>
          <w:szCs w:val="16"/>
          <w:u w:val="single"/>
        </w:rPr>
      </w:pPr>
      <w:r w:rsidRPr="006D61A9">
        <w:rPr>
          <w:rFonts w:ascii="Comic Sans MS" w:hAnsi="Comic Sans MS" w:cs="Verdana"/>
          <w:b/>
          <w:bCs/>
          <w:color w:val="2C5454"/>
          <w:sz w:val="16"/>
          <w:szCs w:val="16"/>
          <w:u w:val="single"/>
        </w:rPr>
        <w:t>Rating Scheme for the Strength of the Recommendations</w:t>
      </w:r>
    </w:p>
    <w:p w:rsidR="000463F2" w:rsidRPr="006D61A9" w:rsidRDefault="000463F2" w:rsidP="000463F2">
      <w:pPr>
        <w:autoSpaceDE w:val="0"/>
        <w:autoSpaceDN w:val="0"/>
        <w:adjustRightInd w:val="0"/>
        <w:jc w:val="left"/>
        <w:rPr>
          <w:rFonts w:ascii="Comic Sans MS" w:hAnsi="Comic Sans MS" w:cs="Verdana"/>
          <w:b/>
          <w:bCs/>
          <w:color w:val="333333"/>
          <w:sz w:val="16"/>
          <w:szCs w:val="16"/>
          <w:u w:val="single"/>
        </w:rPr>
      </w:pPr>
      <w:r w:rsidRPr="006D61A9">
        <w:rPr>
          <w:rFonts w:ascii="Comic Sans MS" w:hAnsi="Comic Sans MS" w:cs="Verdana"/>
          <w:b/>
          <w:bCs/>
          <w:color w:val="333333"/>
          <w:sz w:val="16"/>
          <w:szCs w:val="16"/>
          <w:u w:val="single"/>
        </w:rPr>
        <w:t>Levels of Recommendation</w:t>
      </w:r>
    </w:p>
    <w:p w:rsidR="000463F2" w:rsidRPr="006D61A9" w:rsidRDefault="000463F2" w:rsidP="000463F2">
      <w:pPr>
        <w:autoSpaceDE w:val="0"/>
        <w:autoSpaceDN w:val="0"/>
        <w:adjustRightInd w:val="0"/>
        <w:jc w:val="left"/>
        <w:rPr>
          <w:rFonts w:ascii="Comic Sans MS" w:hAnsi="Comic Sans MS" w:cs="Verdana"/>
          <w:color w:val="333333"/>
          <w:sz w:val="16"/>
          <w:szCs w:val="16"/>
        </w:rPr>
      </w:pPr>
      <w:r w:rsidRPr="006D61A9">
        <w:rPr>
          <w:rFonts w:ascii="Comic Sans MS" w:hAnsi="Comic Sans MS" w:cs="Verdana"/>
          <w:b/>
          <w:bCs/>
          <w:color w:val="333333"/>
          <w:sz w:val="16"/>
          <w:szCs w:val="16"/>
        </w:rPr>
        <w:t>Level 1</w:t>
      </w:r>
      <w:r w:rsidRPr="006D61A9">
        <w:rPr>
          <w:rFonts w:ascii="Comic Sans MS" w:hAnsi="Comic Sans MS" w:cs="Verdana"/>
          <w:color w:val="333333"/>
          <w:sz w:val="16"/>
          <w:szCs w:val="16"/>
        </w:rPr>
        <w:t>: Recommendations are supported by class I evidence.</w:t>
      </w:r>
    </w:p>
    <w:p w:rsidR="000463F2" w:rsidRPr="006D61A9" w:rsidRDefault="000463F2" w:rsidP="000463F2">
      <w:pPr>
        <w:autoSpaceDE w:val="0"/>
        <w:autoSpaceDN w:val="0"/>
        <w:adjustRightInd w:val="0"/>
        <w:jc w:val="left"/>
        <w:rPr>
          <w:rFonts w:ascii="Comic Sans MS" w:hAnsi="Comic Sans MS" w:cs="Verdana"/>
          <w:color w:val="333333"/>
          <w:sz w:val="16"/>
          <w:szCs w:val="16"/>
        </w:rPr>
      </w:pPr>
      <w:r w:rsidRPr="006D61A9">
        <w:rPr>
          <w:rFonts w:ascii="Comic Sans MS" w:hAnsi="Comic Sans MS" w:cs="Verdana"/>
          <w:b/>
          <w:bCs/>
          <w:color w:val="333333"/>
          <w:sz w:val="16"/>
          <w:szCs w:val="16"/>
        </w:rPr>
        <w:t>Level 2</w:t>
      </w:r>
      <w:r w:rsidRPr="006D61A9">
        <w:rPr>
          <w:rFonts w:ascii="Comic Sans MS" w:hAnsi="Comic Sans MS" w:cs="Verdana"/>
          <w:color w:val="333333"/>
          <w:sz w:val="16"/>
          <w:szCs w:val="16"/>
        </w:rPr>
        <w:t>: Recommendations are supported by class II evidence.</w:t>
      </w:r>
    </w:p>
    <w:p w:rsidR="000463F2" w:rsidRDefault="000463F2" w:rsidP="000463F2">
      <w:pPr>
        <w:rPr>
          <w:rFonts w:ascii="Comic Sans MS" w:hAnsi="Comic Sans MS" w:cs="Verdana"/>
          <w:color w:val="333333"/>
          <w:sz w:val="16"/>
          <w:szCs w:val="16"/>
        </w:rPr>
      </w:pPr>
      <w:r w:rsidRPr="006D61A9">
        <w:rPr>
          <w:rFonts w:ascii="Comic Sans MS" w:hAnsi="Comic Sans MS" w:cs="Verdana"/>
          <w:b/>
          <w:bCs/>
          <w:color w:val="333333"/>
          <w:sz w:val="16"/>
          <w:szCs w:val="16"/>
        </w:rPr>
        <w:t>Level 3</w:t>
      </w:r>
      <w:r w:rsidRPr="006D61A9">
        <w:rPr>
          <w:rFonts w:ascii="Comic Sans MS" w:hAnsi="Comic Sans MS" w:cs="Verdana"/>
          <w:color w:val="333333"/>
          <w:sz w:val="16"/>
          <w:szCs w:val="16"/>
        </w:rPr>
        <w:t>: Recommendations are supported by class III and class IV evidence.</w:t>
      </w:r>
    </w:p>
    <w:p w:rsidR="000463F2" w:rsidRPr="006D61A9" w:rsidRDefault="000463F2" w:rsidP="000463F2">
      <w:pPr>
        <w:rPr>
          <w:rFonts w:ascii="Comic Sans MS" w:hAnsi="Comic Sans MS"/>
          <w:sz w:val="20"/>
          <w:szCs w:val="20"/>
        </w:rPr>
      </w:pPr>
    </w:p>
    <w:p w:rsidR="000463F2" w:rsidRPr="000463F2" w:rsidRDefault="000463F2" w:rsidP="000463F2">
      <w:pPr>
        <w:pStyle w:val="ListParagraph"/>
        <w:numPr>
          <w:ilvl w:val="0"/>
          <w:numId w:val="3"/>
        </w:numPr>
        <w:rPr>
          <w:rFonts w:ascii="Comic Sans MS" w:hAnsi="Comic Sans MS"/>
          <w:b/>
          <w:sz w:val="28"/>
          <w:szCs w:val="28"/>
        </w:rPr>
      </w:pPr>
      <w:r w:rsidRPr="000463F2">
        <w:rPr>
          <w:rFonts w:ascii="Comic Sans MS" w:hAnsi="Comic Sans MS"/>
          <w:b/>
          <w:sz w:val="28"/>
          <w:szCs w:val="28"/>
        </w:rPr>
        <w:t>Level 1</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 xml:space="preserve">The goals of brain-edema management are to reduce ICP while maintaining CPP and to prevent the occurrence of brain </w:t>
      </w:r>
      <w:proofErr w:type="spellStart"/>
      <w:r w:rsidRPr="008E69AD">
        <w:rPr>
          <w:rFonts w:ascii="Comic Sans MS" w:eastAsia="Times New Roman" w:hAnsi="Comic Sans MS" w:cs="Times New Roman"/>
          <w:sz w:val="20"/>
          <w:szCs w:val="20"/>
        </w:rPr>
        <w:t>herniation</w:t>
      </w:r>
      <w:proofErr w:type="spellEnd"/>
      <w:r w:rsidRPr="008E69AD">
        <w:rPr>
          <w:rFonts w:ascii="Comic Sans MS" w:eastAsia="Times New Roman" w:hAnsi="Comic Sans MS" w:cs="Times New Roman"/>
          <w:sz w:val="20"/>
          <w:szCs w:val="20"/>
        </w:rPr>
        <w:t xml:space="preserve">. The patient should be monitored and treated for hypoxemia, </w:t>
      </w:r>
      <w:proofErr w:type="spellStart"/>
      <w:r w:rsidRPr="008E69AD">
        <w:rPr>
          <w:rFonts w:ascii="Comic Sans MS" w:eastAsia="Times New Roman" w:hAnsi="Comic Sans MS" w:cs="Times New Roman"/>
          <w:sz w:val="20"/>
          <w:szCs w:val="20"/>
        </w:rPr>
        <w:t>hypercarbia</w:t>
      </w:r>
      <w:proofErr w:type="spellEnd"/>
      <w:r w:rsidRPr="008E69AD">
        <w:rPr>
          <w:rFonts w:ascii="Comic Sans MS" w:eastAsia="Times New Roman" w:hAnsi="Comic Sans MS" w:cs="Times New Roman"/>
          <w:sz w:val="20"/>
          <w:szCs w:val="20"/>
        </w:rPr>
        <w:t>, and hyperthermia</w:t>
      </w:r>
      <w:r w:rsidRPr="00415B0F">
        <w:rPr>
          <w:rFonts w:ascii="Comic Sans MS" w:eastAsia="Times New Roman" w:hAnsi="Comic Sans MS" w:cs="Times New Roman"/>
          <w:sz w:val="20"/>
          <w:szCs w:val="20"/>
        </w:rPr>
        <w:t>.</w:t>
      </w:r>
    </w:p>
    <w:p w:rsidR="000463F2" w:rsidRPr="000463F2"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 xml:space="preserve">The AHA guidelines do not recommend corticosteroids for treating cerebral edema in patients with a </w:t>
      </w:r>
      <w:r w:rsidRPr="00415B0F">
        <w:rPr>
          <w:rFonts w:ascii="Comic Sans MS" w:eastAsia="Times New Roman" w:hAnsi="Comic Sans MS" w:cs="Times New Roman"/>
          <w:sz w:val="20"/>
          <w:szCs w:val="20"/>
        </w:rPr>
        <w:t>stroke.</w:t>
      </w:r>
    </w:p>
    <w:p w:rsidR="000463F2" w:rsidRPr="000463F2"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Patients with suspected pneumonia or UTI should be treated with antibiotics</w:t>
      </w:r>
      <w:r>
        <w:rPr>
          <w:rFonts w:ascii="Comic Sans MS" w:eastAsia="Times New Roman" w:hAnsi="Comic Sans MS" w:cs="Times New Roman"/>
          <w:sz w:val="20"/>
          <w:szCs w:val="20"/>
        </w:rPr>
        <w:t>.</w:t>
      </w:r>
    </w:p>
    <w:p w:rsidR="000463F2" w:rsidRPr="000463F2" w:rsidRDefault="000463F2" w:rsidP="000463F2">
      <w:pPr>
        <w:rPr>
          <w:rFonts w:ascii="Comic Sans MS" w:hAnsi="Comic Sans MS"/>
          <w:sz w:val="20"/>
          <w:szCs w:val="20"/>
        </w:rPr>
      </w:pPr>
    </w:p>
    <w:p w:rsidR="000463F2" w:rsidRPr="000463F2" w:rsidRDefault="000463F2" w:rsidP="000463F2">
      <w:pPr>
        <w:pStyle w:val="ListParagraph"/>
        <w:numPr>
          <w:ilvl w:val="0"/>
          <w:numId w:val="3"/>
        </w:numPr>
        <w:rPr>
          <w:rFonts w:ascii="Comic Sans MS" w:hAnsi="Comic Sans MS"/>
          <w:b/>
          <w:sz w:val="28"/>
          <w:szCs w:val="28"/>
        </w:rPr>
      </w:pPr>
      <w:r w:rsidRPr="000463F2">
        <w:rPr>
          <w:rFonts w:ascii="Comic Sans MS" w:hAnsi="Comic Sans MS"/>
          <w:b/>
          <w:sz w:val="28"/>
          <w:szCs w:val="28"/>
        </w:rPr>
        <w:t>Level 2</w:t>
      </w:r>
    </w:p>
    <w:p w:rsidR="000463F2" w:rsidRDefault="000463F2" w:rsidP="000463F2">
      <w:pPr>
        <w:pStyle w:val="ListParagraph"/>
        <w:numPr>
          <w:ilvl w:val="1"/>
          <w:numId w:val="3"/>
        </w:numPr>
        <w:rPr>
          <w:rFonts w:ascii="Comic Sans MS" w:hAnsi="Comic Sans MS"/>
          <w:sz w:val="20"/>
          <w:szCs w:val="20"/>
        </w:rPr>
      </w:pPr>
      <w:r>
        <w:rPr>
          <w:rFonts w:ascii="Comic Sans MS" w:hAnsi="Comic Sans MS"/>
          <w:sz w:val="20"/>
          <w:szCs w:val="20"/>
        </w:rPr>
        <w:t>The patient should be monitored on cardiac telemetry for the first 24 hours after a stroke.</w:t>
      </w:r>
    </w:p>
    <w:p w:rsidR="000463F2" w:rsidRDefault="000463F2" w:rsidP="000463F2">
      <w:pPr>
        <w:pStyle w:val="ListParagraph"/>
        <w:numPr>
          <w:ilvl w:val="1"/>
          <w:numId w:val="3"/>
        </w:numPr>
        <w:rPr>
          <w:rFonts w:ascii="Comic Sans MS" w:hAnsi="Comic Sans MS"/>
          <w:sz w:val="20"/>
          <w:szCs w:val="20"/>
        </w:rPr>
      </w:pPr>
      <w:r>
        <w:rPr>
          <w:rFonts w:ascii="Comic Sans MS" w:hAnsi="Comic Sans MS"/>
          <w:sz w:val="20"/>
          <w:szCs w:val="20"/>
        </w:rPr>
        <w:t>Hypoglycemia, although rare in patients with acute stroke, should be treated with dextrose 50% as needed.</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 xml:space="preserve">Because infarct expansion, hemorrhagic transformation and reduced </w:t>
      </w:r>
      <w:proofErr w:type="spellStart"/>
      <w:r w:rsidRPr="008E69AD">
        <w:rPr>
          <w:rFonts w:ascii="Comic Sans MS" w:eastAsia="Times New Roman" w:hAnsi="Comic Sans MS" w:cs="Times New Roman"/>
          <w:sz w:val="20"/>
          <w:szCs w:val="20"/>
        </w:rPr>
        <w:t>recanalization</w:t>
      </w:r>
      <w:proofErr w:type="spellEnd"/>
      <w:r w:rsidRPr="008E69AD">
        <w:rPr>
          <w:rFonts w:ascii="Comic Sans MS" w:eastAsia="Times New Roman" w:hAnsi="Comic Sans MS" w:cs="Times New Roman"/>
          <w:sz w:val="20"/>
          <w:szCs w:val="20"/>
        </w:rPr>
        <w:t xml:space="preserve"> with </w:t>
      </w:r>
      <w:proofErr w:type="spellStart"/>
      <w:r w:rsidRPr="008E69AD">
        <w:rPr>
          <w:rFonts w:ascii="Comic Sans MS" w:eastAsia="Times New Roman" w:hAnsi="Comic Sans MS" w:cs="Times New Roman"/>
          <w:sz w:val="20"/>
          <w:szCs w:val="20"/>
        </w:rPr>
        <w:t>thrombolytics</w:t>
      </w:r>
      <w:proofErr w:type="spellEnd"/>
      <w:r w:rsidRPr="008E69AD">
        <w:rPr>
          <w:rFonts w:ascii="Comic Sans MS" w:eastAsia="Times New Roman" w:hAnsi="Comic Sans MS" w:cs="Times New Roman"/>
          <w:sz w:val="20"/>
          <w:szCs w:val="20"/>
        </w:rPr>
        <w:t>, poor clinical outcome, and increased length of stay have been associated with elevated glucose, hyperglycemia should be avoided.</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The goal of hyperventilation management is to decrease the carbon dioxide concentration by 5–10 mm Hg, which lowers the ICP by 25%–30%. Hyperventilation should be done only on a short-term basis because brain perfusion may be compromised as vasoconstriction occurs</w:t>
      </w:r>
      <w:r w:rsidRPr="00415B0F">
        <w:rPr>
          <w:rFonts w:ascii="Comic Sans MS" w:eastAsia="Times New Roman" w:hAnsi="Comic Sans MS" w:cs="Times New Roman"/>
          <w:sz w:val="20"/>
          <w:szCs w:val="20"/>
        </w:rPr>
        <w:t>.</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 xml:space="preserve">The nurse may frequently assess the patient neurologically to monitor for changes in brain perfusion. Osmotic diuretics such as furosemide or </w:t>
      </w:r>
      <w:proofErr w:type="spellStart"/>
      <w:r w:rsidRPr="008E69AD">
        <w:rPr>
          <w:rFonts w:ascii="Comic Sans MS" w:eastAsia="Times New Roman" w:hAnsi="Comic Sans MS" w:cs="Times New Roman"/>
          <w:sz w:val="20"/>
          <w:szCs w:val="20"/>
        </w:rPr>
        <w:t>mannitol</w:t>
      </w:r>
      <w:proofErr w:type="spellEnd"/>
      <w:r w:rsidRPr="008E69AD">
        <w:rPr>
          <w:rFonts w:ascii="Comic Sans MS" w:eastAsia="Times New Roman" w:hAnsi="Comic Sans MS" w:cs="Times New Roman"/>
          <w:sz w:val="20"/>
          <w:szCs w:val="20"/>
        </w:rPr>
        <w:t xml:space="preserve"> are recommended for treatment of cerebral edema. </w:t>
      </w:r>
      <w:proofErr w:type="spellStart"/>
      <w:r w:rsidRPr="008E69AD">
        <w:rPr>
          <w:rFonts w:ascii="Comic Sans MS" w:eastAsia="Times New Roman" w:hAnsi="Comic Sans MS" w:cs="Times New Roman"/>
          <w:sz w:val="20"/>
          <w:szCs w:val="20"/>
        </w:rPr>
        <w:t>Mannitol</w:t>
      </w:r>
      <w:proofErr w:type="spellEnd"/>
      <w:r w:rsidRPr="008E69AD">
        <w:rPr>
          <w:rFonts w:ascii="Comic Sans MS" w:eastAsia="Times New Roman" w:hAnsi="Comic Sans MS" w:cs="Times New Roman"/>
          <w:sz w:val="20"/>
          <w:szCs w:val="20"/>
        </w:rPr>
        <w:t xml:space="preserve"> can be given every 6 hours. The nurse must closely monitor serum and urine </w:t>
      </w:r>
      <w:proofErr w:type="spellStart"/>
      <w:r w:rsidRPr="008E69AD">
        <w:rPr>
          <w:rFonts w:ascii="Comic Sans MS" w:eastAsia="Times New Roman" w:hAnsi="Comic Sans MS" w:cs="Times New Roman"/>
          <w:sz w:val="20"/>
          <w:szCs w:val="20"/>
        </w:rPr>
        <w:t>osmolality</w:t>
      </w:r>
      <w:proofErr w:type="spellEnd"/>
      <w:r w:rsidRPr="00415B0F">
        <w:rPr>
          <w:rFonts w:ascii="Comic Sans MS" w:eastAsia="Times New Roman" w:hAnsi="Comic Sans MS" w:cs="Times New Roman"/>
          <w:sz w:val="20"/>
          <w:szCs w:val="20"/>
        </w:rPr>
        <w:t>.</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 xml:space="preserve">The 2007 AHA guidelines recommend keeping the patient </w:t>
      </w:r>
      <w:proofErr w:type="spellStart"/>
      <w:r w:rsidRPr="008E69AD">
        <w:rPr>
          <w:rFonts w:ascii="Comic Sans MS" w:eastAsia="Times New Roman" w:hAnsi="Comic Sans MS" w:cs="Times New Roman"/>
          <w:sz w:val="20"/>
          <w:szCs w:val="20"/>
        </w:rPr>
        <w:t>normothermic</w:t>
      </w:r>
      <w:proofErr w:type="spellEnd"/>
      <w:r w:rsidRPr="00415B0F">
        <w:rPr>
          <w:rFonts w:ascii="Comic Sans MS" w:eastAsia="Times New Roman" w:hAnsi="Comic Sans MS" w:cs="Times New Roman"/>
          <w:sz w:val="20"/>
          <w:szCs w:val="20"/>
        </w:rPr>
        <w:t>.</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A swallow assessment should be performed as soon as possible after admission to the hospital and no later than 48 hours after admission. Patients suspected of having swallowing problems should be given nothing by mouth until after a structured bedside swallowing assessment is performed</w:t>
      </w:r>
      <w:r w:rsidRPr="00415B0F">
        <w:rPr>
          <w:rFonts w:ascii="Comic Sans MS" w:eastAsia="Times New Roman" w:hAnsi="Comic Sans MS" w:cs="Times New Roman"/>
          <w:sz w:val="20"/>
          <w:szCs w:val="20"/>
        </w:rPr>
        <w:t>.</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Also, nurses should perform aggressive oral care. Minimizing the bacterial count in the mouth can decrease the risk of developing aspiration pneumonia if the patient aspirates</w:t>
      </w:r>
      <w:r w:rsidRPr="00415B0F">
        <w:rPr>
          <w:rFonts w:ascii="Comic Sans MS" w:eastAsia="Times New Roman" w:hAnsi="Comic Sans MS" w:cs="Times New Roman"/>
          <w:sz w:val="20"/>
          <w:szCs w:val="20"/>
        </w:rPr>
        <w:t>.</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lastRenderedPageBreak/>
        <w:t>Malnutrition has been proven to delay recovery and to increase the duration of hospital stay. However, nutritional supplements are not routinely recommended</w:t>
      </w:r>
      <w:r w:rsidRPr="00415B0F">
        <w:rPr>
          <w:rFonts w:ascii="Comic Sans MS" w:eastAsia="Times New Roman" w:hAnsi="Comic Sans MS" w:cs="Times New Roman"/>
          <w:sz w:val="20"/>
          <w:szCs w:val="20"/>
        </w:rPr>
        <w:t>.</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 xml:space="preserve">Most patients can tolerate an oral diet but may need to be taught special techniques, such as specific ways of positioning the head and neck and specified swallowing maneuvers. In addition, changes in consistency of food may be necessary during the acute phase of the </w:t>
      </w:r>
      <w:r w:rsidRPr="00415B0F">
        <w:rPr>
          <w:rFonts w:ascii="Comic Sans MS" w:eastAsia="Times New Roman" w:hAnsi="Comic Sans MS" w:cs="Times New Roman"/>
          <w:sz w:val="20"/>
          <w:szCs w:val="20"/>
        </w:rPr>
        <w:t>stroke</w:t>
      </w:r>
      <w:r>
        <w:rPr>
          <w:rFonts w:ascii="Comic Sans MS" w:eastAsia="Times New Roman" w:hAnsi="Comic Sans MS" w:cs="Times New Roman"/>
          <w:sz w:val="20"/>
          <w:szCs w:val="20"/>
        </w:rPr>
        <w:t>.</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Weight should be monitored at least once weekly to assess for adequacy of nutrition</w:t>
      </w:r>
      <w:r>
        <w:rPr>
          <w:rFonts w:ascii="Comic Sans MS" w:eastAsia="Times New Roman" w:hAnsi="Comic Sans MS" w:cs="Times New Roman"/>
          <w:sz w:val="20"/>
          <w:szCs w:val="20"/>
        </w:rPr>
        <w:t>.</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 xml:space="preserve">Airway and oxygenation should be monitored closely, and a structured swallowing assessment has been shown to be the best way to decrease the incidence of pneumonia in cases of acute </w:t>
      </w:r>
      <w:r w:rsidRPr="00415B0F">
        <w:rPr>
          <w:rFonts w:ascii="Comic Sans MS" w:eastAsia="Times New Roman" w:hAnsi="Comic Sans MS" w:cs="Times New Roman"/>
          <w:sz w:val="20"/>
          <w:szCs w:val="20"/>
        </w:rPr>
        <w:t>stroke</w:t>
      </w:r>
      <w:r>
        <w:rPr>
          <w:rFonts w:ascii="Comic Sans MS" w:eastAsia="Times New Roman" w:hAnsi="Comic Sans MS" w:cs="Times New Roman"/>
          <w:sz w:val="20"/>
          <w:szCs w:val="20"/>
        </w:rPr>
        <w:t>.</w:t>
      </w:r>
    </w:p>
    <w:p w:rsidR="000463F2" w:rsidRPr="006D61A9"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Two additional, nurse initiated interventions that have been shown to decrease the incidence of pneumonia are (a) initiation of early mobility and (b) good pulmonary toileting</w:t>
      </w:r>
      <w:r>
        <w:rPr>
          <w:rFonts w:ascii="Comic Sans MS" w:eastAsia="Times New Roman" w:hAnsi="Comic Sans MS" w:cs="Times New Roman"/>
          <w:sz w:val="20"/>
          <w:szCs w:val="20"/>
        </w:rPr>
        <w:t>.</w:t>
      </w:r>
    </w:p>
    <w:p w:rsidR="000463F2" w:rsidRPr="006D61A9"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The nurse must assume the responsibility for requesting the medications or developing a bowel program protocol or set of orders</w:t>
      </w:r>
      <w:r>
        <w:rPr>
          <w:rFonts w:ascii="Comic Sans MS" w:eastAsia="Times New Roman" w:hAnsi="Comic Sans MS" w:cs="Times New Roman"/>
          <w:sz w:val="20"/>
          <w:szCs w:val="20"/>
        </w:rPr>
        <w:t>.</w:t>
      </w:r>
    </w:p>
    <w:p w:rsidR="000463F2" w:rsidRPr="00415B0F" w:rsidRDefault="000463F2" w:rsidP="000463F2">
      <w:pPr>
        <w:pStyle w:val="ListParagraph"/>
        <w:rPr>
          <w:rFonts w:ascii="Comic Sans MS" w:hAnsi="Comic Sans MS"/>
          <w:sz w:val="20"/>
          <w:szCs w:val="20"/>
        </w:rPr>
      </w:pPr>
    </w:p>
    <w:p w:rsidR="000463F2" w:rsidRPr="000463F2" w:rsidRDefault="000463F2" w:rsidP="000463F2">
      <w:pPr>
        <w:pStyle w:val="ListParagraph"/>
        <w:numPr>
          <w:ilvl w:val="0"/>
          <w:numId w:val="3"/>
        </w:numPr>
        <w:rPr>
          <w:rFonts w:ascii="Comic Sans MS" w:hAnsi="Comic Sans MS"/>
          <w:b/>
          <w:sz w:val="28"/>
          <w:szCs w:val="28"/>
        </w:rPr>
      </w:pPr>
      <w:r w:rsidRPr="000463F2">
        <w:rPr>
          <w:rFonts w:ascii="Comic Sans MS" w:hAnsi="Comic Sans MS"/>
          <w:b/>
          <w:sz w:val="28"/>
          <w:szCs w:val="28"/>
        </w:rPr>
        <w:t>Level 3</w:t>
      </w:r>
    </w:p>
    <w:p w:rsidR="000463F2" w:rsidRDefault="000463F2" w:rsidP="000463F2">
      <w:pPr>
        <w:pStyle w:val="ListParagraph"/>
        <w:numPr>
          <w:ilvl w:val="1"/>
          <w:numId w:val="3"/>
        </w:numPr>
        <w:rPr>
          <w:rFonts w:ascii="Comic Sans MS" w:hAnsi="Comic Sans MS"/>
          <w:sz w:val="20"/>
          <w:szCs w:val="20"/>
        </w:rPr>
      </w:pPr>
      <w:r>
        <w:rPr>
          <w:rFonts w:ascii="Comic Sans MS" w:hAnsi="Comic Sans MS"/>
          <w:sz w:val="20"/>
          <w:szCs w:val="20"/>
        </w:rPr>
        <w:t>The patient should be placed on oxygen 2-4 L per minute and titrate to maintain an oxygen saturation of ≥92%. An ABG test should be performed and a chest film taken if a saturation of ≥92% cannot be obtained.</w:t>
      </w:r>
    </w:p>
    <w:p w:rsidR="000463F2" w:rsidRDefault="000463F2" w:rsidP="000463F2">
      <w:pPr>
        <w:pStyle w:val="ListParagraph"/>
        <w:numPr>
          <w:ilvl w:val="1"/>
          <w:numId w:val="3"/>
        </w:numPr>
        <w:rPr>
          <w:rFonts w:ascii="Comic Sans MS" w:hAnsi="Comic Sans MS"/>
          <w:sz w:val="20"/>
          <w:szCs w:val="20"/>
        </w:rPr>
      </w:pPr>
      <w:r>
        <w:rPr>
          <w:rFonts w:ascii="Comic Sans MS" w:hAnsi="Comic Sans MS"/>
          <w:sz w:val="20"/>
          <w:szCs w:val="20"/>
        </w:rPr>
        <w:t>IV administration of glucose-containing solutions should be avoided. A patient’s blood glucose should be maintained in the &lt;140 mg/ dL range.  A serum glucose range of 140-185 mg/dL should be treated with IV insulin.</w:t>
      </w:r>
    </w:p>
    <w:p w:rsidR="000463F2" w:rsidRPr="00415B0F" w:rsidRDefault="000463F2" w:rsidP="000463F2">
      <w:pPr>
        <w:pStyle w:val="ListParagraph"/>
        <w:numPr>
          <w:ilvl w:val="1"/>
          <w:numId w:val="3"/>
        </w:numPr>
        <w:rPr>
          <w:rFonts w:ascii="Comic Sans MS" w:hAnsi="Comic Sans MS"/>
          <w:sz w:val="20"/>
          <w:szCs w:val="20"/>
        </w:rPr>
      </w:pPr>
      <w:r w:rsidRPr="008E69AD">
        <w:rPr>
          <w:rFonts w:ascii="Comic Sans MS" w:eastAsia="Times New Roman" w:hAnsi="Comic Sans MS" w:cs="Times New Roman"/>
          <w:sz w:val="20"/>
          <w:szCs w:val="20"/>
        </w:rPr>
        <w:t>Antipyretics should be used to lower body temperature in febrile patients until further studies are completed</w:t>
      </w:r>
      <w:r w:rsidRPr="00415B0F">
        <w:rPr>
          <w:rFonts w:ascii="Comic Sans MS" w:eastAsia="Times New Roman" w:hAnsi="Comic Sans MS" w:cs="Times New Roman"/>
          <w:sz w:val="20"/>
          <w:szCs w:val="20"/>
        </w:rPr>
        <w:t>.</w:t>
      </w:r>
    </w:p>
    <w:p w:rsidR="00CB6A19" w:rsidRDefault="00CB6A19"/>
    <w:sectPr w:rsidR="00CB6A19" w:rsidSect="00CB6A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CDE510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oNotDisplayPageBoundaries/>
  <w:proofState w:spelling="clean" w:grammar="clean"/>
  <w:defaultTabStop w:val="720"/>
  <w:characterSpacingControl w:val="doNotCompress"/>
  <w:savePreviewPicture/>
  <w:compat/>
  <w:rsids>
    <w:rsidRoot w:val="000463F2"/>
    <w:rsid w:val="000463F2"/>
    <w:rsid w:val="00471EB3"/>
    <w:rsid w:val="006E2A64"/>
    <w:rsid w:val="00CB6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3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character" w:customStyle="1" w:styleId="fthighlight">
    <w:name w:val="ft_highlight"/>
    <w:basedOn w:val="DefaultParagraphFont"/>
    <w:rsid w:val="000463F2"/>
  </w:style>
  <w:style w:type="paragraph" w:styleId="ListParagraph">
    <w:name w:val="List Paragraph"/>
    <w:basedOn w:val="Normal"/>
    <w:uiPriority w:val="34"/>
    <w:qFormat/>
    <w:rsid w:val="000463F2"/>
    <w:pPr>
      <w:ind w:left="720"/>
      <w:contextualSpacing/>
    </w:pPr>
  </w:style>
  <w:style w:type="character" w:styleId="Hyperlink">
    <w:name w:val="Hyperlink"/>
    <w:basedOn w:val="DefaultParagraphFont"/>
    <w:uiPriority w:val="99"/>
    <w:unhideWhenUsed/>
    <w:rsid w:val="000463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ideline.gov/content.aspx?id=13575&amp;search=stroke%23t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Jeana</cp:lastModifiedBy>
  <cp:revision>1</cp:revision>
  <dcterms:created xsi:type="dcterms:W3CDTF">2012-03-21T03:33:00Z</dcterms:created>
  <dcterms:modified xsi:type="dcterms:W3CDTF">2012-03-21T03:34:00Z</dcterms:modified>
</cp:coreProperties>
</file>