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A5" w:rsidRDefault="00F638DE" w:rsidP="00F638DE">
      <w:pPr>
        <w:spacing w:line="480" w:lineRule="auto"/>
        <w:rPr>
          <w:b/>
        </w:rPr>
      </w:pPr>
      <w:r>
        <w:rPr>
          <w:b/>
        </w:rPr>
        <w:t>S</w:t>
      </w:r>
      <w:r w:rsidR="00D845A5">
        <w:rPr>
          <w:b/>
        </w:rPr>
        <w:t>TANDARD 2</w:t>
      </w:r>
    </w:p>
    <w:p w:rsidR="00F638DE" w:rsidRPr="00D845A5" w:rsidRDefault="00F638DE" w:rsidP="00F638DE">
      <w:pPr>
        <w:spacing w:line="480" w:lineRule="auto"/>
        <w:rPr>
          <w:b/>
        </w:rPr>
      </w:pPr>
      <w:r>
        <w:rPr>
          <w:b/>
        </w:rPr>
        <w:t>Faculty</w:t>
      </w:r>
      <w:r w:rsidR="00D845A5">
        <w:rPr>
          <w:b/>
        </w:rPr>
        <w:t xml:space="preserve"> and Staff</w:t>
      </w:r>
    </w:p>
    <w:p w:rsidR="00D845A5" w:rsidRPr="00D845A5" w:rsidRDefault="00D845A5" w:rsidP="00D845A5">
      <w:pPr>
        <w:spacing w:line="480" w:lineRule="auto"/>
        <w:ind w:left="720" w:hanging="720"/>
        <w:rPr>
          <w:b/>
        </w:rPr>
      </w:pPr>
      <w:r w:rsidRPr="00D845A5">
        <w:rPr>
          <w:b/>
        </w:rPr>
        <w:t>2.1</w:t>
      </w:r>
      <w:r>
        <w:rPr>
          <w:b/>
        </w:rPr>
        <w:tab/>
        <w:t xml:space="preserve">Full-time faculty </w:t>
      </w:r>
      <w:proofErr w:type="gramStart"/>
      <w:r>
        <w:rPr>
          <w:b/>
        </w:rPr>
        <w:t>are</w:t>
      </w:r>
      <w:proofErr w:type="gramEnd"/>
      <w:r>
        <w:rPr>
          <w:b/>
        </w:rPr>
        <w:t xml:space="preserve"> credentialed with a minimum of a master’s degree with a major in nursing and maintain expertise in their areas of responsibility.</w:t>
      </w:r>
      <w:r w:rsidRPr="00D845A5">
        <w:rPr>
          <w:b/>
        </w:rPr>
        <w:t xml:space="preserve">  </w:t>
      </w:r>
    </w:p>
    <w:p w:rsidR="0060281B" w:rsidRPr="00620605" w:rsidRDefault="0060281B" w:rsidP="00215FBC">
      <w:pPr>
        <w:spacing w:line="480" w:lineRule="auto"/>
        <w:ind w:firstLine="720"/>
      </w:pPr>
      <w:r>
        <w:t xml:space="preserve">The collective talents among the faculty members bring to the </w:t>
      </w:r>
      <w:r w:rsidR="004C44D5">
        <w:t xml:space="preserve">nursing </w:t>
      </w:r>
      <w:r>
        <w:t xml:space="preserve">program diversity in academic preparation and experience </w:t>
      </w:r>
      <w:r w:rsidR="004C44D5">
        <w:t xml:space="preserve">to accomplish the program goals and outcomes. </w:t>
      </w:r>
      <w:r w:rsidRPr="004C44D5">
        <w:rPr>
          <w:color w:val="FF0000"/>
        </w:rPr>
        <w:t>(</w:t>
      </w:r>
      <w:proofErr w:type="gramStart"/>
      <w:r w:rsidRPr="00B23C77">
        <w:rPr>
          <w:color w:val="FF0000"/>
        </w:rPr>
        <w:t>appendix</w:t>
      </w:r>
      <w:proofErr w:type="gramEnd"/>
      <w:r w:rsidRPr="00B23C77">
        <w:rPr>
          <w:color w:val="FF0000"/>
        </w:rPr>
        <w:t>, pages</w:t>
      </w:r>
      <w:r>
        <w:rPr>
          <w:color w:val="FF0000"/>
        </w:rPr>
        <w:t>…</w:t>
      </w:r>
      <w:r w:rsidR="00620605">
        <w:rPr>
          <w:color w:val="FF0000"/>
        </w:rPr>
        <w:t xml:space="preserve">FRMCSN </w:t>
      </w:r>
      <w:r>
        <w:rPr>
          <w:color w:val="FF0000"/>
        </w:rPr>
        <w:t>Faculty Profile Table</w:t>
      </w:r>
      <w:r w:rsidR="00620605">
        <w:rPr>
          <w:color w:val="FF0000"/>
        </w:rPr>
        <w:t xml:space="preserve"> 2012-2013</w:t>
      </w:r>
      <w:r w:rsidRPr="00B23C77">
        <w:rPr>
          <w:color w:val="FF0000"/>
        </w:rPr>
        <w:t>).</w:t>
      </w:r>
      <w:r>
        <w:rPr>
          <w:color w:val="FF0000"/>
        </w:rPr>
        <w:t xml:space="preserve">  </w:t>
      </w:r>
      <w:r w:rsidRPr="00B57F0D">
        <w:t xml:space="preserve">The school has ten full-time </w:t>
      </w:r>
      <w:proofErr w:type="gramStart"/>
      <w:r w:rsidRPr="00B57F0D">
        <w:t>faculty</w:t>
      </w:r>
      <w:proofErr w:type="gramEnd"/>
      <w:r w:rsidRPr="00B57F0D">
        <w:t>, including the Director and Assistant Director, who are all</w:t>
      </w:r>
      <w:r>
        <w:t xml:space="preserve"> qualified with a </w:t>
      </w:r>
      <w:r w:rsidR="00F6789B">
        <w:t xml:space="preserve">minimum of a </w:t>
      </w:r>
      <w:r>
        <w:t xml:space="preserve">master’s degree </w:t>
      </w:r>
      <w:r w:rsidR="00F6789B">
        <w:t>with a major in nursing</w:t>
      </w:r>
      <w:r w:rsidRPr="00620605">
        <w:t xml:space="preserve">.  Two </w:t>
      </w:r>
      <w:proofErr w:type="gramStart"/>
      <w:r w:rsidRPr="00620605">
        <w:t>faculty</w:t>
      </w:r>
      <w:proofErr w:type="gramEnd"/>
      <w:r w:rsidRPr="00620605">
        <w:t xml:space="preserve"> have a dual master’s degree in education. One faculty member has an </w:t>
      </w:r>
      <w:proofErr w:type="spellStart"/>
      <w:r w:rsidRPr="00620605">
        <w:t>EdD</w:t>
      </w:r>
      <w:proofErr w:type="spellEnd"/>
      <w:r w:rsidRPr="00620605">
        <w:t xml:space="preserve"> in higher education and another is currently pursuing her PhD in nursing with an expected completion date at the end of 2013. The </w:t>
      </w:r>
      <w:proofErr w:type="gramStart"/>
      <w:r w:rsidRPr="00620605">
        <w:t>faculty have</w:t>
      </w:r>
      <w:proofErr w:type="gramEnd"/>
      <w:r w:rsidRPr="00620605">
        <w:t xml:space="preserve"> received their higher education through</w:t>
      </w:r>
      <w:r w:rsidR="00984E54">
        <w:t xml:space="preserve"> eight different universities. Academic and experiential credentials are on file in the director’s office for each faculty through </w:t>
      </w:r>
      <w:r w:rsidR="009D1AEC">
        <w:t>transcripts and curriculum vitae or resume.</w:t>
      </w:r>
    </w:p>
    <w:p w:rsidR="0060281B" w:rsidRPr="003F1296" w:rsidRDefault="0060281B" w:rsidP="0060281B">
      <w:pPr>
        <w:spacing w:line="480" w:lineRule="auto"/>
        <w:rPr>
          <w:color w:val="FF0000"/>
        </w:rPr>
      </w:pPr>
      <w:r>
        <w:tab/>
      </w:r>
      <w:r w:rsidR="00F6789B">
        <w:t xml:space="preserve">Faculty members are prepared at the graduate level as educators, clinical nurse specialists, </w:t>
      </w:r>
      <w:r w:rsidR="00F6789B" w:rsidRPr="00620605">
        <w:t xml:space="preserve">and </w:t>
      </w:r>
      <w:r w:rsidR="00F6789B">
        <w:t xml:space="preserve">administrators. </w:t>
      </w:r>
      <w:r>
        <w:t xml:space="preserve">The number of years experience in the practice of nursing ranges from </w:t>
      </w:r>
      <w:r w:rsidR="00F6789B">
        <w:t>8</w:t>
      </w:r>
      <w:r w:rsidRPr="00075761">
        <w:t xml:space="preserve"> to 4</w:t>
      </w:r>
      <w:r w:rsidR="00F6789B">
        <w:t>0</w:t>
      </w:r>
      <w:r>
        <w:t xml:space="preserve"> years with an average of 2</w:t>
      </w:r>
      <w:r w:rsidR="00F6789B">
        <w:t>7</w:t>
      </w:r>
      <w:r>
        <w:t xml:space="preserve"> years.  Faculty areas of expertise include;</w:t>
      </w:r>
      <w:r w:rsidRPr="00620605">
        <w:t xml:space="preserve"> medical surgical nursing, critical care nursing, cardiac nursing, geriatric nursing, oncology nursing, pediatric nursing, palliative care nursing and</w:t>
      </w:r>
      <w:r>
        <w:t xml:space="preserve"> obstetrical nursing.  </w:t>
      </w:r>
      <w:r w:rsidR="004C44D5">
        <w:t>T</w:t>
      </w:r>
      <w:r w:rsidR="003F1296">
        <w:t xml:space="preserve">he newest faculty member was hired December 2012 and brings to the faculty members expertise in behavioral health and community health nursing. </w:t>
      </w:r>
      <w:r>
        <w:t>The variety in experience and education contributes to the talents and team teaching approach available in the nursing courses.</w:t>
      </w:r>
    </w:p>
    <w:p w:rsidR="003F1296" w:rsidRDefault="00215FBC" w:rsidP="003F1296">
      <w:pPr>
        <w:spacing w:line="480" w:lineRule="auto"/>
        <w:ind w:firstLine="720"/>
      </w:pPr>
      <w:r>
        <w:lastRenderedPageBreak/>
        <w:t xml:space="preserve">Faculty expertise is defined by the school as 100% of the faculty members maintain expertise in the areas of primary teaching responsibilities by achieving one or more of the following: attendance at six hours or more annually of continuing education related to the content areas, presentation of one or more hours annually of continuing education or in-service education related to the content areas, volunteer activities of at least three hours annually in the content areas or maintenance of specialty certification.  A chart illustrating each faculty member’s fulfillment in these areas is completed annually and reported at the Faculty Development Committee </w:t>
      </w:r>
      <w:r w:rsidR="00620605">
        <w:t xml:space="preserve">(FDC) </w:t>
      </w:r>
      <w:r>
        <w:t>planned systematic ev</w:t>
      </w:r>
      <w:r w:rsidR="003F1296">
        <w:t>aluation of the school meeting (</w:t>
      </w:r>
      <w:r w:rsidR="003F1296" w:rsidRPr="003F1296">
        <w:rPr>
          <w:color w:val="FF0000"/>
        </w:rPr>
        <w:t>appendix, page _</w:t>
      </w:r>
      <w:r w:rsidR="00446FCB">
        <w:rPr>
          <w:color w:val="FF0000"/>
        </w:rPr>
        <w:t>?</w:t>
      </w:r>
      <w:r w:rsidR="003F1296" w:rsidRPr="003F1296">
        <w:rPr>
          <w:color w:val="FF0000"/>
        </w:rPr>
        <w:t xml:space="preserve">___). </w:t>
      </w:r>
      <w:r w:rsidR="003F1296">
        <w:t xml:space="preserve">   </w:t>
      </w:r>
      <w:r>
        <w:t xml:space="preserve">This data is trended and summarized every five years to correspond with the Faculty Workload Study related to theory and clinical instruction. </w:t>
      </w:r>
    </w:p>
    <w:p w:rsidR="0060281B" w:rsidRDefault="0060281B" w:rsidP="003F1296">
      <w:pPr>
        <w:spacing w:line="480" w:lineRule="auto"/>
        <w:ind w:left="720"/>
        <w:rPr>
          <w:b/>
        </w:rPr>
      </w:pPr>
      <w:r w:rsidRPr="00912E9B">
        <w:rPr>
          <w:b/>
        </w:rPr>
        <w:t>Criterion 2.1.1     The majority of part-time faculty are credentialed with a minimum of a master’s degree with a major in nursing; the remaining part-time faculty hold a minimum of a baccalaureate degree with a major in nursing.</w:t>
      </w:r>
    </w:p>
    <w:p w:rsidR="0060281B" w:rsidRPr="00075761" w:rsidRDefault="0060281B" w:rsidP="0060281B">
      <w:pPr>
        <w:spacing w:line="480" w:lineRule="auto"/>
        <w:ind w:firstLine="720"/>
      </w:pPr>
      <w:r>
        <w:t>The school has three part-time faculty; two faculty working an average of 24 hours per week and one faculty member working PRN to assist with coverage</w:t>
      </w:r>
      <w:r w:rsidR="00620605">
        <w:t xml:space="preserve"> and some community </w:t>
      </w:r>
      <w:proofErr w:type="spellStart"/>
      <w:r w:rsidR="00620605">
        <w:t>clinicals</w:t>
      </w:r>
      <w:proofErr w:type="spellEnd"/>
      <w:r>
        <w:t xml:space="preserve">.  The part-time </w:t>
      </w:r>
      <w:proofErr w:type="gramStart"/>
      <w:r>
        <w:t xml:space="preserve">faculty </w:t>
      </w:r>
      <w:r w:rsidRPr="00B57F0D">
        <w:t>are</w:t>
      </w:r>
      <w:proofErr w:type="gramEnd"/>
      <w:r w:rsidRPr="00B57F0D">
        <w:t xml:space="preserve"> all</w:t>
      </w:r>
      <w:r>
        <w:t xml:space="preserve"> qualified with a master’s degree</w:t>
      </w:r>
      <w:r w:rsidR="004D279C">
        <w:t xml:space="preserve"> with a major</w:t>
      </w:r>
      <w:r>
        <w:t xml:space="preserve"> in nursing.</w:t>
      </w:r>
    </w:p>
    <w:p w:rsidR="0060281B" w:rsidRPr="00912E9B" w:rsidRDefault="0060281B" w:rsidP="0060281B">
      <w:pPr>
        <w:spacing w:line="480" w:lineRule="auto"/>
        <w:ind w:left="720"/>
        <w:rPr>
          <w:b/>
        </w:rPr>
      </w:pPr>
      <w:r w:rsidRPr="00912E9B">
        <w:rPr>
          <w:b/>
        </w:rPr>
        <w:t>Criterion 2.1.2     Rationale is provided for utilization</w:t>
      </w:r>
      <w:r>
        <w:rPr>
          <w:b/>
        </w:rPr>
        <w:t xml:space="preserve"> </w:t>
      </w:r>
      <w:r w:rsidRPr="00912E9B">
        <w:rPr>
          <w:b/>
        </w:rPr>
        <w:t>of faculty who do not meet the minimum credential.</w:t>
      </w:r>
    </w:p>
    <w:p w:rsidR="0060281B" w:rsidRDefault="0060281B" w:rsidP="0060281B">
      <w:pPr>
        <w:spacing w:line="480" w:lineRule="auto"/>
      </w:pPr>
      <w:r>
        <w:tab/>
        <w:t xml:space="preserve">All faculty full- and part-time are credentialed with a minimum of a master’s degree with a major in nursing. </w:t>
      </w:r>
    </w:p>
    <w:p w:rsidR="0060281B" w:rsidRDefault="0060281B" w:rsidP="0060281B">
      <w:pPr>
        <w:spacing w:line="480" w:lineRule="auto"/>
        <w:rPr>
          <w:b/>
        </w:rPr>
      </w:pPr>
      <w:r>
        <w:rPr>
          <w:b/>
        </w:rPr>
        <w:t>Criterion 2.2     Faculty (full- and part-time) credentials meet governing organization and state requirements.</w:t>
      </w:r>
    </w:p>
    <w:p w:rsidR="0060281B" w:rsidRPr="00A80CF7" w:rsidRDefault="0060281B" w:rsidP="004D279C">
      <w:pPr>
        <w:spacing w:line="480" w:lineRule="auto"/>
        <w:ind w:firstLine="720"/>
      </w:pPr>
      <w:r>
        <w:lastRenderedPageBreak/>
        <w:t xml:space="preserve">All nursing faculty have a current valid licensure as a registered nurse in Ohio and have experience for at least 2 years in the practice of nursing as a registered nurse.  The nursing </w:t>
      </w:r>
      <w:r w:rsidRPr="002E691F">
        <w:t xml:space="preserve">faculty </w:t>
      </w:r>
      <w:r>
        <w:t xml:space="preserve">job description was revised in July, 2012 to maintain consistency with the medical center policies and to reflect the revisions in the Ohio Board of Nursing Rules and Regulations.  Faculty qualifications and responsibilities are addressed in the Personnel Policies for Faculty Members and in the </w:t>
      </w:r>
      <w:r w:rsidR="00FF3FBA">
        <w:t xml:space="preserve">nursing faculty </w:t>
      </w:r>
      <w:r>
        <w:t xml:space="preserve">job description.  </w:t>
      </w:r>
    </w:p>
    <w:p w:rsidR="00425A8F" w:rsidRDefault="00425A8F" w:rsidP="00425A8F">
      <w:pPr>
        <w:spacing w:line="480" w:lineRule="auto"/>
        <w:rPr>
          <w:b/>
        </w:rPr>
      </w:pPr>
      <w:r>
        <w:rPr>
          <w:b/>
        </w:rPr>
        <w:t xml:space="preserve">Criterion 2.3     Credentials of practice laboratory personnel are commensurate with their </w:t>
      </w:r>
    </w:p>
    <w:p w:rsidR="00425A8F" w:rsidRDefault="00425A8F" w:rsidP="00425A8F">
      <w:pPr>
        <w:spacing w:line="480" w:lineRule="auto"/>
        <w:rPr>
          <w:b/>
          <w:color w:val="FF0000"/>
        </w:rPr>
      </w:pPr>
      <w:proofErr w:type="gramStart"/>
      <w:r>
        <w:rPr>
          <w:b/>
        </w:rPr>
        <w:t>level</w:t>
      </w:r>
      <w:proofErr w:type="gramEnd"/>
      <w:r>
        <w:rPr>
          <w:b/>
        </w:rPr>
        <w:t xml:space="preserve"> of responsibilities.  </w:t>
      </w:r>
      <w:r>
        <w:rPr>
          <w:b/>
          <w:color w:val="FF0000"/>
        </w:rPr>
        <w:t>H. Price</w:t>
      </w:r>
    </w:p>
    <w:p w:rsidR="00911B93" w:rsidRDefault="00911B93" w:rsidP="00911B93">
      <w:pPr>
        <w:spacing w:line="480" w:lineRule="auto"/>
      </w:pPr>
      <w:r>
        <w:tab/>
        <w:t xml:space="preserve">Dawn </w:t>
      </w:r>
      <w:proofErr w:type="spellStart"/>
      <w:r>
        <w:t>Wikel</w:t>
      </w:r>
      <w:proofErr w:type="spellEnd"/>
      <w:r>
        <w:t xml:space="preserve"> </w:t>
      </w:r>
      <w:smartTag w:uri="urn:schemas-microsoft-com:office:smarttags" w:element="stockticker">
        <w:r>
          <w:t>MSN</w:t>
        </w:r>
      </w:smartTag>
      <w:r>
        <w:t>, RN is the Skills Laboratory Coordinator.  Her responsibilities include ordering of equipment and supplies, organizing the storage area, monitoring the laboratory schedule to avoid conflicts, and the planning and implementing of laboratory activities for second year nursing students.  Only nursing faculty and teaching assistants are permitted to assist with demonstration of skills and monitoring of student performance in the laboratory setting.</w:t>
      </w:r>
    </w:p>
    <w:p w:rsidR="00911B93" w:rsidRPr="000A0F3D" w:rsidRDefault="00911B93" w:rsidP="00911B93">
      <w:pPr>
        <w:spacing w:line="480" w:lineRule="auto"/>
      </w:pPr>
      <w:r>
        <w:tab/>
        <w:t xml:space="preserve">Michelle </w:t>
      </w:r>
      <w:proofErr w:type="spellStart"/>
      <w:r>
        <w:t>Bussard</w:t>
      </w:r>
      <w:proofErr w:type="spellEnd"/>
      <w:r>
        <w:t xml:space="preserve"> </w:t>
      </w:r>
      <w:smartTag w:uri="urn:schemas-microsoft-com:office:smarttags" w:element="stockticker">
        <w:r>
          <w:t>MSN</w:t>
        </w:r>
      </w:smartTag>
      <w:r>
        <w:t xml:space="preserve">, RN, ACNS-BC, </w:t>
      </w:r>
      <w:smartTag w:uri="urn:schemas-microsoft-com:office:smarttags" w:element="stockticker">
        <w:r>
          <w:t>CNE</w:t>
        </w:r>
      </w:smartTag>
      <w:r>
        <w:t xml:space="preserve"> is the Simulation </w:t>
      </w:r>
      <w:r w:rsidRPr="000A0F3D">
        <w:t>Labora</w:t>
      </w:r>
      <w:r>
        <w:t xml:space="preserve">tory Coordinator. Her responsibilities include educating other faculty in the proper use of the simulation equipment, monitoring equipment functioning and maintenance, ordering supplies, scheduling the simulation laboratory, and the planning and implementing of practice patient scenarios using the adult simulator for second year nursing students.  Holly Myers </w:t>
      </w:r>
      <w:smartTag w:uri="urn:schemas-microsoft-com:office:smarttags" w:element="stockticker">
        <w:r>
          <w:t>MSN</w:t>
        </w:r>
      </w:smartTag>
      <w:r>
        <w:t xml:space="preserve">, RN has received specialized education in the use of </w:t>
      </w:r>
      <w:proofErr w:type="spellStart"/>
      <w:r>
        <w:t>SimBaby</w:t>
      </w:r>
      <w:proofErr w:type="spellEnd"/>
      <w:r>
        <w:t xml:space="preserve"> which is utilized in the Maternal Child Nursing course in the third year of the program.  Only nursing faculty who have completed simulation training are permitted to utilize the patient simulators.</w:t>
      </w:r>
    </w:p>
    <w:p w:rsidR="00215FBC" w:rsidRDefault="00425A8F" w:rsidP="0060281B">
      <w:pPr>
        <w:spacing w:line="480" w:lineRule="auto"/>
      </w:pPr>
      <w:r>
        <w:rPr>
          <w:b/>
        </w:rPr>
        <w:t xml:space="preserve">Criterion 2.4     </w:t>
      </w:r>
      <w:proofErr w:type="gramStart"/>
      <w:r>
        <w:rPr>
          <w:b/>
        </w:rPr>
        <w:t>The</w:t>
      </w:r>
      <w:proofErr w:type="gramEnd"/>
      <w:r>
        <w:rPr>
          <w:b/>
        </w:rPr>
        <w:t xml:space="preserve"> number and utilization of faculty (full- and part-time) ensure that program outcomes are achieved.</w:t>
      </w:r>
      <w:r w:rsidR="0060281B">
        <w:tab/>
      </w:r>
    </w:p>
    <w:p w:rsidR="002E691F" w:rsidRPr="00620605" w:rsidRDefault="000172EC" w:rsidP="00446FCB">
      <w:pPr>
        <w:spacing w:line="480" w:lineRule="auto"/>
        <w:rPr>
          <w:color w:val="FF0000"/>
        </w:rPr>
      </w:pPr>
      <w:r w:rsidRPr="00620605">
        <w:lastRenderedPageBreak/>
        <w:t xml:space="preserve"> </w:t>
      </w:r>
      <w:r w:rsidRPr="00620605">
        <w:tab/>
      </w:r>
      <w:r w:rsidR="002E691F" w:rsidRPr="00620605">
        <w:t xml:space="preserve">A faculty workload study was completed in 2010.  The literature search confirmed that the role of nursing faculty is complex and multidimensional with the majority of faculty workload encompassed in teaching and clinical supervision.  Additional time commitments and responsibilities are expected of faculty in areas such as chairing or participating in committee work, professional </w:t>
      </w:r>
      <w:r w:rsidR="00A2168D" w:rsidRPr="00620605">
        <w:t>organizations</w:t>
      </w:r>
      <w:r w:rsidR="002E691F" w:rsidRPr="00620605">
        <w:t>, community service, scholarship activities, administrative activities</w:t>
      </w:r>
      <w:r w:rsidR="00554C3C">
        <w:t>, service,</w:t>
      </w:r>
      <w:r w:rsidR="002E691F" w:rsidRPr="00620605">
        <w:t xml:space="preserve"> and maintaining nursing expertise, experience or </w:t>
      </w:r>
      <w:r w:rsidR="00554C3C">
        <w:t>specialty practice.</w:t>
      </w:r>
    </w:p>
    <w:p w:rsidR="002E691F" w:rsidRDefault="002E691F" w:rsidP="00446FCB">
      <w:pPr>
        <w:spacing w:line="480" w:lineRule="auto"/>
      </w:pPr>
      <w:r>
        <w:t>Currently the faculty workload and responsibilities according to FRMCSN personnel policies are as listed:</w:t>
      </w:r>
    </w:p>
    <w:p w:rsidR="00A2168D" w:rsidRPr="00F37807" w:rsidRDefault="00A2168D" w:rsidP="00446FCB">
      <w:pPr>
        <w:numPr>
          <w:ilvl w:val="0"/>
          <w:numId w:val="3"/>
        </w:numPr>
        <w:tabs>
          <w:tab w:val="clear" w:pos="1155"/>
          <w:tab w:val="num" w:pos="585"/>
        </w:tabs>
        <w:spacing w:line="480" w:lineRule="auto"/>
        <w:ind w:left="585"/>
      </w:pPr>
      <w:r w:rsidRPr="00F37807">
        <w:t>All teaching loads will be adjusted to take into consideration all responsibilities of the faculty member including classroom instruction, clinical supervision, guidance, research, and co-curricular activities, and will not exceed thirty contact hours per week.</w:t>
      </w:r>
    </w:p>
    <w:p w:rsidR="00A2168D" w:rsidRPr="00F37807" w:rsidRDefault="00A2168D" w:rsidP="00446FCB">
      <w:pPr>
        <w:numPr>
          <w:ilvl w:val="0"/>
          <w:numId w:val="3"/>
        </w:numPr>
        <w:tabs>
          <w:tab w:val="clear" w:pos="1155"/>
          <w:tab w:val="num" w:pos="585"/>
        </w:tabs>
        <w:spacing w:line="480" w:lineRule="auto"/>
        <w:ind w:left="585"/>
      </w:pPr>
      <w:r w:rsidRPr="00F37807">
        <w:t>Over the period of each semester and the academic year, the average number of hours of classroom instruction for individual faculty shall not exceed an average of 12 hours per week.</w:t>
      </w:r>
    </w:p>
    <w:p w:rsidR="00A2168D" w:rsidRPr="00F37807" w:rsidRDefault="00A2168D" w:rsidP="00446FCB">
      <w:pPr>
        <w:numPr>
          <w:ilvl w:val="0"/>
          <w:numId w:val="3"/>
        </w:numPr>
        <w:tabs>
          <w:tab w:val="clear" w:pos="1155"/>
          <w:tab w:val="num" w:pos="585"/>
        </w:tabs>
        <w:spacing w:line="480" w:lineRule="auto"/>
        <w:ind w:left="585"/>
      </w:pPr>
      <w:r w:rsidRPr="00F37807">
        <w:t>Each faculty member will be expected to assist with co-curricular activities.</w:t>
      </w:r>
    </w:p>
    <w:p w:rsidR="00A2168D" w:rsidRPr="00F37807" w:rsidRDefault="00A2168D" w:rsidP="00446FCB">
      <w:pPr>
        <w:numPr>
          <w:ilvl w:val="0"/>
          <w:numId w:val="3"/>
        </w:numPr>
        <w:tabs>
          <w:tab w:val="clear" w:pos="1155"/>
          <w:tab w:val="num" w:pos="585"/>
        </w:tabs>
        <w:spacing w:line="480" w:lineRule="auto"/>
        <w:ind w:left="585"/>
      </w:pPr>
      <w:r w:rsidRPr="00F37807">
        <w:t>Over the period of each semester and the academic year, supervision of students in the clinical area shall not exceed an average of 16 hours per week.</w:t>
      </w:r>
    </w:p>
    <w:p w:rsidR="00A2168D" w:rsidRPr="00F37807" w:rsidRDefault="00A2168D" w:rsidP="00446FCB">
      <w:pPr>
        <w:numPr>
          <w:ilvl w:val="0"/>
          <w:numId w:val="3"/>
        </w:numPr>
        <w:tabs>
          <w:tab w:val="clear" w:pos="1155"/>
          <w:tab w:val="num" w:pos="585"/>
        </w:tabs>
        <w:spacing w:line="480" w:lineRule="auto"/>
        <w:ind w:left="585"/>
      </w:pPr>
      <w:r w:rsidRPr="00F37807">
        <w:t>The academic year for faculty extends for 41 weeks.</w:t>
      </w:r>
      <w:r>
        <w:t xml:space="preserve">  (The Ohio Board of Nursing defines an academic year as an equivalent of a minimum to 30 weeks of full-time instruction that may include time for examinations.)  </w:t>
      </w:r>
    </w:p>
    <w:p w:rsidR="00A2168D" w:rsidRPr="00F37807" w:rsidRDefault="00A2168D" w:rsidP="00446FCB">
      <w:pPr>
        <w:numPr>
          <w:ilvl w:val="0"/>
          <w:numId w:val="3"/>
        </w:numPr>
        <w:tabs>
          <w:tab w:val="clear" w:pos="1155"/>
          <w:tab w:val="num" w:pos="585"/>
        </w:tabs>
        <w:spacing w:line="480" w:lineRule="auto"/>
        <w:ind w:left="585"/>
      </w:pPr>
      <w:r w:rsidRPr="00F37807">
        <w:t>Faculty workload is examined at least every five years.</w:t>
      </w:r>
    </w:p>
    <w:p w:rsidR="002E691F" w:rsidRPr="002C6A31" w:rsidRDefault="00026A42" w:rsidP="00446FCB">
      <w:pPr>
        <w:spacing w:line="480" w:lineRule="auto"/>
        <w:ind w:firstLine="585"/>
      </w:pPr>
      <w:r w:rsidRPr="002C6A31">
        <w:t xml:space="preserve">The faculty and students are surveyed yearly for their perception of theory and clinical workloads.  </w:t>
      </w:r>
      <w:r w:rsidR="0089211D" w:rsidRPr="002C6A31">
        <w:t xml:space="preserve">Students are asked about adequacy of classroom instruction and supervision in the </w:t>
      </w:r>
      <w:r w:rsidR="0089211D" w:rsidRPr="002C6A31">
        <w:lastRenderedPageBreak/>
        <w:t xml:space="preserve">clinical area.  </w:t>
      </w:r>
      <w:proofErr w:type="gramStart"/>
      <w:r w:rsidR="0089211D" w:rsidRPr="002C6A31">
        <w:t>Faculty are</w:t>
      </w:r>
      <w:proofErr w:type="gramEnd"/>
      <w:r w:rsidR="0089211D" w:rsidRPr="002C6A31">
        <w:t xml:space="preserve"> surveyed about individual manageability of theory and clinical workloads.  The school </w:t>
      </w:r>
      <w:r w:rsidRPr="002C6A31">
        <w:t>has had a self-study outcome benchmark of 85</w:t>
      </w:r>
      <w:r w:rsidR="00446FCB">
        <w:t>%</w:t>
      </w:r>
      <w:r w:rsidRPr="002C6A31">
        <w:t xml:space="preserve"> agreement</w:t>
      </w:r>
      <w:r w:rsidR="00012F27">
        <w:t xml:space="preserve">. During revisions </w:t>
      </w:r>
      <w:r w:rsidR="007868C9" w:rsidRPr="002C6A31">
        <w:t>in June, 2012 the benchmark was increased to 100</w:t>
      </w:r>
      <w:r w:rsidR="00446FCB">
        <w:t>%</w:t>
      </w:r>
      <w:r w:rsidR="0089211D" w:rsidRPr="002C6A31">
        <w:t xml:space="preserve"> for faculty and 90</w:t>
      </w:r>
      <w:r w:rsidR="00446FCB">
        <w:t>%</w:t>
      </w:r>
      <w:r w:rsidR="0089211D" w:rsidRPr="002C6A31">
        <w:t xml:space="preserve"> for students.</w:t>
      </w:r>
      <w:r w:rsidRPr="002C6A31">
        <w:t xml:space="preserve">  In summary, the faculty surveys for the past </w:t>
      </w:r>
      <w:r w:rsidR="00C81375" w:rsidRPr="002C6A31">
        <w:t>4</w:t>
      </w:r>
      <w:r w:rsidRPr="002C6A31">
        <w:t xml:space="preserve"> years (20</w:t>
      </w:r>
      <w:r w:rsidR="00C81375" w:rsidRPr="002C6A31">
        <w:t>09</w:t>
      </w:r>
      <w:r w:rsidRPr="002C6A31">
        <w:t>-201</w:t>
      </w:r>
      <w:r w:rsidR="0089211D" w:rsidRPr="002C6A31">
        <w:t>2</w:t>
      </w:r>
      <w:r w:rsidRPr="002C6A31">
        <w:t xml:space="preserve">) indicate the faculty members felt the theory and clinical workloads are manageable with an </w:t>
      </w:r>
      <w:r w:rsidR="00446FCB">
        <w:t xml:space="preserve">overall </w:t>
      </w:r>
      <w:r w:rsidRPr="002C6A31">
        <w:t xml:space="preserve">average of </w:t>
      </w:r>
      <w:r w:rsidR="002C6A31" w:rsidRPr="002C6A31">
        <w:t>90</w:t>
      </w:r>
      <w:r w:rsidRPr="002C6A31">
        <w:t xml:space="preserve"> percent for theory and</w:t>
      </w:r>
      <w:r w:rsidR="002C6A31" w:rsidRPr="002C6A31">
        <w:t xml:space="preserve"> 98 percent for clinical.  </w:t>
      </w:r>
      <w:r w:rsidR="002E691F" w:rsidRPr="002C6A31">
        <w:t xml:space="preserve">The results </w:t>
      </w:r>
      <w:r w:rsidR="00620605">
        <w:t>are</w:t>
      </w:r>
      <w:r w:rsidR="002E691F" w:rsidRPr="002C6A31">
        <w:t xml:space="preserve"> listed in the table below:   </w:t>
      </w:r>
      <w:r w:rsidR="002E691F" w:rsidRPr="002C6A31">
        <w:rPr>
          <w:b/>
        </w:rPr>
        <w:t xml:space="preserve"> </w:t>
      </w:r>
    </w:p>
    <w:p w:rsidR="00713F12" w:rsidRPr="00713F12" w:rsidRDefault="00713F12" w:rsidP="00713F12">
      <w:r w:rsidRPr="00713F12">
        <w:t xml:space="preserve">Criterion 2.4 – Faculty </w:t>
      </w:r>
      <w:r w:rsidR="00CE5FB5">
        <w:t>N</w:t>
      </w:r>
      <w:r w:rsidRPr="00713F12">
        <w:t xml:space="preserve">umber and </w:t>
      </w:r>
      <w:r w:rsidR="00CE5FB5">
        <w:t>U</w:t>
      </w:r>
      <w:r w:rsidRPr="00713F12">
        <w:t>tilization</w:t>
      </w:r>
      <w:r w:rsidR="00CE5FB5">
        <w:t>:  Theory and Clinical Workload</w:t>
      </w:r>
    </w:p>
    <w:tbl>
      <w:tblPr>
        <w:tblStyle w:val="TableGrid"/>
        <w:tblW w:w="0" w:type="auto"/>
        <w:tblLook w:val="04A0"/>
      </w:tblPr>
      <w:tblGrid>
        <w:gridCol w:w="1008"/>
        <w:gridCol w:w="4050"/>
        <w:gridCol w:w="4518"/>
      </w:tblGrid>
      <w:tr w:rsidR="00713F12" w:rsidRPr="00713F12" w:rsidTr="000C4E4F">
        <w:tc>
          <w:tcPr>
            <w:tcW w:w="1008" w:type="dxa"/>
            <w:shd w:val="clear" w:color="auto" w:fill="F2F2F2" w:themeFill="background1" w:themeFillShade="F2"/>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Goal:</w:t>
            </w:r>
          </w:p>
        </w:tc>
        <w:tc>
          <w:tcPr>
            <w:tcW w:w="8568" w:type="dxa"/>
            <w:gridSpan w:val="2"/>
            <w:shd w:val="clear" w:color="auto" w:fill="F2F2F2" w:themeFill="background1" w:themeFillShade="F2"/>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85% of faculty members will indicate that theory and clinical workloads are manageable.</w:t>
            </w:r>
            <w:r w:rsidR="00500753">
              <w:rPr>
                <w:rFonts w:ascii="Times New Roman" w:hAnsi="Times New Roman"/>
                <w:sz w:val="24"/>
                <w:szCs w:val="24"/>
              </w:rPr>
              <w:t xml:space="preserve"> </w:t>
            </w:r>
          </w:p>
        </w:tc>
      </w:tr>
      <w:tr w:rsidR="00713F12" w:rsidRPr="00713F12" w:rsidTr="00E669A4">
        <w:trPr>
          <w:trHeight w:val="41"/>
        </w:trPr>
        <w:tc>
          <w:tcPr>
            <w:tcW w:w="1008" w:type="dxa"/>
          </w:tcPr>
          <w:p w:rsidR="00713F12" w:rsidRPr="00713F12" w:rsidRDefault="00713F12" w:rsidP="00E669A4">
            <w:pPr>
              <w:rPr>
                <w:rFonts w:ascii="Times New Roman" w:hAnsi="Times New Roman"/>
                <w:sz w:val="24"/>
                <w:szCs w:val="24"/>
              </w:rPr>
            </w:pP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Results Theory Workload</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Results Clinical Workload</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2009</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86%</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2010</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83%</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2011</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r>
      <w:tr w:rsidR="00713F12" w:rsidRPr="00620605" w:rsidTr="00E669A4">
        <w:trPr>
          <w:trHeight w:val="38"/>
        </w:trPr>
        <w:tc>
          <w:tcPr>
            <w:tcW w:w="1008" w:type="dxa"/>
          </w:tcPr>
          <w:p w:rsidR="00713F12" w:rsidRPr="00620605" w:rsidRDefault="00713F12" w:rsidP="00E669A4">
            <w:pPr>
              <w:rPr>
                <w:rFonts w:ascii="Times New Roman" w:hAnsi="Times New Roman"/>
                <w:sz w:val="24"/>
                <w:szCs w:val="24"/>
              </w:rPr>
            </w:pPr>
            <w:r w:rsidRPr="00620605">
              <w:rPr>
                <w:rFonts w:ascii="Times New Roman" w:hAnsi="Times New Roman"/>
                <w:sz w:val="24"/>
                <w:szCs w:val="24"/>
              </w:rPr>
              <w:t>2012</w:t>
            </w:r>
          </w:p>
        </w:tc>
        <w:tc>
          <w:tcPr>
            <w:tcW w:w="4050" w:type="dxa"/>
          </w:tcPr>
          <w:p w:rsidR="00713F12" w:rsidRPr="00620605" w:rsidRDefault="00713F12" w:rsidP="00E669A4">
            <w:pPr>
              <w:jc w:val="center"/>
              <w:rPr>
                <w:rFonts w:ascii="Times New Roman" w:hAnsi="Times New Roman"/>
                <w:sz w:val="24"/>
                <w:szCs w:val="24"/>
              </w:rPr>
            </w:pPr>
            <w:r w:rsidRPr="00620605">
              <w:rPr>
                <w:rFonts w:ascii="Times New Roman" w:hAnsi="Times New Roman"/>
                <w:sz w:val="24"/>
                <w:szCs w:val="24"/>
              </w:rPr>
              <w:t>92%</w:t>
            </w:r>
          </w:p>
        </w:tc>
        <w:tc>
          <w:tcPr>
            <w:tcW w:w="4518" w:type="dxa"/>
          </w:tcPr>
          <w:p w:rsidR="00713F12" w:rsidRPr="00620605" w:rsidRDefault="00713F12" w:rsidP="00E669A4">
            <w:pPr>
              <w:jc w:val="center"/>
              <w:rPr>
                <w:rFonts w:ascii="Times New Roman" w:hAnsi="Times New Roman"/>
                <w:sz w:val="24"/>
                <w:szCs w:val="24"/>
              </w:rPr>
            </w:pPr>
            <w:r w:rsidRPr="00620605">
              <w:rPr>
                <w:rFonts w:ascii="Times New Roman" w:hAnsi="Times New Roman"/>
                <w:sz w:val="24"/>
                <w:szCs w:val="24"/>
              </w:rPr>
              <w:t>92%</w:t>
            </w:r>
          </w:p>
        </w:tc>
      </w:tr>
      <w:tr w:rsidR="00620605" w:rsidRPr="00620605" w:rsidTr="00E669A4">
        <w:trPr>
          <w:trHeight w:val="38"/>
        </w:trPr>
        <w:tc>
          <w:tcPr>
            <w:tcW w:w="1008" w:type="dxa"/>
          </w:tcPr>
          <w:p w:rsidR="00620605" w:rsidRPr="00620605" w:rsidRDefault="00620605" w:rsidP="00E669A4">
            <w:pPr>
              <w:rPr>
                <w:rFonts w:ascii="Times New Roman" w:hAnsi="Times New Roman"/>
                <w:sz w:val="24"/>
                <w:szCs w:val="24"/>
              </w:rPr>
            </w:pPr>
            <w:r w:rsidRPr="00620605">
              <w:rPr>
                <w:rFonts w:ascii="Times New Roman" w:hAnsi="Times New Roman"/>
                <w:sz w:val="24"/>
                <w:szCs w:val="24"/>
              </w:rPr>
              <w:t>2013</w:t>
            </w:r>
          </w:p>
        </w:tc>
        <w:tc>
          <w:tcPr>
            <w:tcW w:w="4050" w:type="dxa"/>
          </w:tcPr>
          <w:p w:rsidR="00620605" w:rsidRPr="00620605" w:rsidRDefault="00620605" w:rsidP="00620605">
            <w:pPr>
              <w:jc w:val="center"/>
              <w:rPr>
                <w:rFonts w:ascii="Times New Roman" w:hAnsi="Times New Roman"/>
                <w:color w:val="FF0000"/>
                <w:sz w:val="24"/>
                <w:szCs w:val="24"/>
              </w:rPr>
            </w:pPr>
            <w:r>
              <w:rPr>
                <w:rFonts w:ascii="Times New Roman" w:hAnsi="Times New Roman"/>
                <w:color w:val="FF0000"/>
                <w:sz w:val="24"/>
                <w:szCs w:val="24"/>
              </w:rPr>
              <w:t>Maybe add this year when done</w:t>
            </w:r>
            <w:r w:rsidR="00446FCB">
              <w:rPr>
                <w:rFonts w:ascii="Times New Roman" w:hAnsi="Times New Roman"/>
                <w:color w:val="FF0000"/>
                <w:sz w:val="24"/>
                <w:szCs w:val="24"/>
              </w:rPr>
              <w:t xml:space="preserve"> Hopefully they are better </w:t>
            </w:r>
            <w:r w:rsidR="00446FCB" w:rsidRPr="00446FCB">
              <w:rPr>
                <w:color w:val="FF0000"/>
              </w:rPr>
              <w:sym w:font="Wingdings" w:char="F04A"/>
            </w:r>
          </w:p>
        </w:tc>
        <w:tc>
          <w:tcPr>
            <w:tcW w:w="4518" w:type="dxa"/>
          </w:tcPr>
          <w:p w:rsidR="00620605" w:rsidRPr="00620605" w:rsidRDefault="00620605" w:rsidP="00E669A4">
            <w:pPr>
              <w:jc w:val="center"/>
              <w:rPr>
                <w:rFonts w:ascii="Times New Roman" w:hAnsi="Times New Roman"/>
                <w:sz w:val="24"/>
                <w:szCs w:val="24"/>
              </w:rPr>
            </w:pPr>
          </w:p>
        </w:tc>
      </w:tr>
    </w:tbl>
    <w:p w:rsidR="00500753" w:rsidRDefault="002E691F" w:rsidP="00500753">
      <w:pPr>
        <w:spacing w:line="480" w:lineRule="auto"/>
      </w:pPr>
      <w:r>
        <w:tab/>
      </w:r>
    </w:p>
    <w:p w:rsidR="00CD48B2" w:rsidRPr="001955E6" w:rsidRDefault="00CD48B2" w:rsidP="00500753">
      <w:pPr>
        <w:spacing w:line="480" w:lineRule="auto"/>
        <w:ind w:firstLine="720"/>
      </w:pPr>
      <w:r w:rsidRPr="001955E6">
        <w:t>From the Faculty Workload Report, the hours for 2009-2010 show</w:t>
      </w:r>
      <w:r w:rsidR="00936D77" w:rsidRPr="001955E6">
        <w:t>ed</w:t>
      </w:r>
      <w:r w:rsidRPr="001955E6">
        <w:t xml:space="preserve"> a greatly improved distribution</w:t>
      </w:r>
      <w:r w:rsidR="00936D77" w:rsidRPr="001955E6">
        <w:t xml:space="preserve"> of workload </w:t>
      </w:r>
      <w:r w:rsidRPr="001955E6">
        <w:t>in all courses</w:t>
      </w:r>
      <w:r w:rsidR="00500753" w:rsidRPr="001955E6">
        <w:t xml:space="preserve"> but the perceived results were lower </w:t>
      </w:r>
      <w:r w:rsidR="00620605">
        <w:t xml:space="preserve">changing </w:t>
      </w:r>
      <w:r w:rsidR="00500753" w:rsidRPr="001955E6">
        <w:t>from 86</w:t>
      </w:r>
      <w:r w:rsidR="00974A09">
        <w:t>%</w:t>
      </w:r>
      <w:r w:rsidR="00500753" w:rsidRPr="001955E6">
        <w:t xml:space="preserve"> to 83</w:t>
      </w:r>
      <w:r w:rsidR="00974A09">
        <w:t>%</w:t>
      </w:r>
      <w:r w:rsidRPr="001955E6">
        <w:t xml:space="preserve">.  Some differences </w:t>
      </w:r>
      <w:r w:rsidR="00936D77" w:rsidRPr="001955E6">
        <w:t>were</w:t>
      </w:r>
      <w:r w:rsidRPr="001955E6">
        <w:t xml:space="preserve"> accounted for faculty who</w:t>
      </w:r>
      <w:r w:rsidR="00936D77" w:rsidRPr="001955E6">
        <w:t xml:space="preserve"> were</w:t>
      </w:r>
      <w:r w:rsidRPr="001955E6">
        <w:t xml:space="preserve"> </w:t>
      </w:r>
      <w:r w:rsidR="00936D77" w:rsidRPr="001955E6">
        <w:t xml:space="preserve">taking on </w:t>
      </w:r>
      <w:r w:rsidR="00737168">
        <w:t xml:space="preserve">new </w:t>
      </w:r>
      <w:r w:rsidR="00737168" w:rsidRPr="001955E6">
        <w:t>responsibilities</w:t>
      </w:r>
      <w:r w:rsidRPr="001955E6">
        <w:t xml:space="preserve"> in the course</w:t>
      </w:r>
      <w:r w:rsidR="00500753" w:rsidRPr="001955E6">
        <w:t>s</w:t>
      </w:r>
      <w:r w:rsidRPr="001955E6">
        <w:t xml:space="preserve"> such as lab coordinator, </w:t>
      </w:r>
      <w:r w:rsidR="00936D77" w:rsidRPr="001955E6">
        <w:t>simulation</w:t>
      </w:r>
      <w:r w:rsidRPr="001955E6">
        <w:t xml:space="preserve"> coordinator, course coordinator, or </w:t>
      </w:r>
      <w:r w:rsidR="00974A09">
        <w:t xml:space="preserve">implementation of </w:t>
      </w:r>
      <w:r w:rsidRPr="001955E6">
        <w:t xml:space="preserve">more </w:t>
      </w:r>
      <w:r w:rsidR="00936D77" w:rsidRPr="001955E6">
        <w:t xml:space="preserve">online </w:t>
      </w:r>
      <w:r w:rsidRPr="001955E6">
        <w:t>grading such as Virtual Clinical Excursions</w:t>
      </w:r>
      <w:r w:rsidR="00620605">
        <w:t xml:space="preserve"> through Evolve learning management system</w:t>
      </w:r>
      <w:r w:rsidRPr="001955E6">
        <w:t xml:space="preserve">. </w:t>
      </w:r>
      <w:r w:rsidR="00A23C04" w:rsidRPr="001955E6">
        <w:t xml:space="preserve">Faculty had </w:t>
      </w:r>
      <w:r w:rsidR="00974A09">
        <w:t xml:space="preserve">various </w:t>
      </w:r>
      <w:r w:rsidR="00A23C04" w:rsidRPr="001955E6">
        <w:t>questions related to how to account for online workload hours.</w:t>
      </w:r>
    </w:p>
    <w:p w:rsidR="00CD48B2" w:rsidRPr="001955E6" w:rsidRDefault="00936D77" w:rsidP="00CD48B2">
      <w:pPr>
        <w:spacing w:line="480" w:lineRule="auto"/>
        <w:ind w:firstLine="720"/>
      </w:pPr>
      <w:r w:rsidRPr="001955E6">
        <w:t>T</w:t>
      </w:r>
      <w:r w:rsidR="00CD48B2" w:rsidRPr="001955E6">
        <w:t>he faculty surveys</w:t>
      </w:r>
      <w:r w:rsidRPr="001955E6">
        <w:t xml:space="preserve"> </w:t>
      </w:r>
      <w:r w:rsidR="002C6A31" w:rsidRPr="001955E6">
        <w:t xml:space="preserve">also </w:t>
      </w:r>
      <w:r w:rsidRPr="001955E6">
        <w:t xml:space="preserve">showed concern related to increasing numbers of students </w:t>
      </w:r>
      <w:r w:rsidR="00620605">
        <w:t xml:space="preserve">in the nursing courses </w:t>
      </w:r>
      <w:r w:rsidRPr="001955E6">
        <w:t xml:space="preserve">which is </w:t>
      </w:r>
      <w:r w:rsidR="00CD48B2" w:rsidRPr="001955E6">
        <w:t xml:space="preserve">consistent with the concerns found in the literature in regards to faculty workload and responsibilities.  The comments in the survey mirrored the increased volume of </w:t>
      </w:r>
      <w:r w:rsidR="00CD48B2" w:rsidRPr="001955E6">
        <w:lastRenderedPageBreak/>
        <w:t>students</w:t>
      </w:r>
      <w:r w:rsidRPr="001955E6">
        <w:t xml:space="preserve"> and t</w:t>
      </w:r>
      <w:r w:rsidR="00CD48B2" w:rsidRPr="001955E6">
        <w:t xml:space="preserve">he 2010 school year </w:t>
      </w:r>
      <w:r w:rsidRPr="001955E6">
        <w:t xml:space="preserve">was </w:t>
      </w:r>
      <w:r w:rsidR="00CD48B2" w:rsidRPr="001955E6">
        <w:t xml:space="preserve">a record high for enrollment.  </w:t>
      </w:r>
      <w:proofErr w:type="gramStart"/>
      <w:r w:rsidRPr="001955E6">
        <w:t>Faculty were</w:t>
      </w:r>
      <w:proofErr w:type="gramEnd"/>
      <w:r w:rsidRPr="001955E6">
        <w:t xml:space="preserve"> expressing</w:t>
      </w:r>
      <w:r w:rsidR="00CD48B2" w:rsidRPr="001955E6">
        <w:t xml:space="preserve"> concerns of </w:t>
      </w:r>
      <w:r w:rsidR="00620605">
        <w:t xml:space="preserve">continuing to </w:t>
      </w:r>
      <w:r w:rsidR="00CD48B2" w:rsidRPr="001955E6">
        <w:t>accep</w:t>
      </w:r>
      <w:r w:rsidR="00620605">
        <w:t>t</w:t>
      </w:r>
      <w:r w:rsidR="00CD48B2" w:rsidRPr="001955E6">
        <w:t xml:space="preserve"> increasing numbers of students.</w:t>
      </w:r>
    </w:p>
    <w:p w:rsidR="00936D77" w:rsidRPr="001955E6" w:rsidRDefault="00936D77" w:rsidP="00936D77">
      <w:pPr>
        <w:spacing w:line="480" w:lineRule="auto"/>
        <w:ind w:firstLine="720"/>
      </w:pPr>
      <w:r w:rsidRPr="001955E6">
        <w:t xml:space="preserve">A planned change that started Fall Semester in 2010 was the combining of two courses, Maternal Child Nursing and Maternal Child Nursing Advanced Concepts, which was to better utilize and pool the resources of the four maternal child faculty and coverage at the various clinical sites. </w:t>
      </w:r>
      <w:r w:rsidR="001955E6">
        <w:t>Students shared displeasure in the combining of the Fast</w:t>
      </w:r>
      <w:r w:rsidR="00CE5FB5">
        <w:t xml:space="preserve"> </w:t>
      </w:r>
      <w:r w:rsidR="001955E6">
        <w:t xml:space="preserve">LANE and regular students into one course. </w:t>
      </w:r>
    </w:p>
    <w:p w:rsidR="002E691F" w:rsidRDefault="002E691F" w:rsidP="002E691F">
      <w:pPr>
        <w:spacing w:line="480" w:lineRule="auto"/>
      </w:pPr>
      <w:r>
        <w:tab/>
        <w:t xml:space="preserve">The student surveys </w:t>
      </w:r>
      <w:r w:rsidR="00F109D0">
        <w:t xml:space="preserve">for 2009 to 2012 </w:t>
      </w:r>
      <w:r>
        <w:t xml:space="preserve">indicated </w:t>
      </w:r>
      <w:r w:rsidR="00F109D0">
        <w:t xml:space="preserve">that </w:t>
      </w:r>
      <w:r>
        <w:t>clinical supervision w</w:t>
      </w:r>
      <w:r w:rsidR="00560305">
        <w:t>as</w:t>
      </w:r>
      <w:r>
        <w:t xml:space="preserve"> adequate or excellent; </w:t>
      </w:r>
      <w:r w:rsidR="00A23C04">
        <w:t xml:space="preserve">exceeding </w:t>
      </w:r>
      <w:r>
        <w:t>the benchmark of 85%</w:t>
      </w:r>
      <w:r w:rsidR="00500753">
        <w:t>.</w:t>
      </w:r>
      <w:r>
        <w:t xml:space="preserve">  </w:t>
      </w:r>
      <w:r w:rsidR="009943AE" w:rsidRPr="001955E6">
        <w:t xml:space="preserve">The survey results for </w:t>
      </w:r>
      <w:r w:rsidR="00560305">
        <w:t>class tutelage showed a benchmark drop to 75</w:t>
      </w:r>
      <w:r w:rsidR="00737168">
        <w:t>% for</w:t>
      </w:r>
      <w:r w:rsidR="00560305">
        <w:t xml:space="preserve"> second year students and 81% for third year students in </w:t>
      </w:r>
      <w:r w:rsidR="009943AE" w:rsidRPr="001955E6">
        <w:t>2011</w:t>
      </w:r>
      <w:r w:rsidR="00560305">
        <w:t>.</w:t>
      </w:r>
      <w:r w:rsidR="009943AE" w:rsidRPr="001955E6">
        <w:t xml:space="preserve">  </w:t>
      </w:r>
      <w:r w:rsidRPr="001955E6">
        <w:t>The following table illustrate</w:t>
      </w:r>
      <w:r w:rsidR="00CE5FB5">
        <w:t>s</w:t>
      </w:r>
      <w:r w:rsidRPr="001955E6">
        <w:t xml:space="preserve"> the results</w:t>
      </w:r>
      <w:r>
        <w:t xml:space="preserve"> of the student surveys:</w:t>
      </w:r>
    </w:p>
    <w:p w:rsidR="00CE5FB5" w:rsidRPr="00713F12" w:rsidRDefault="00CE5FB5" w:rsidP="00CE5FB5">
      <w:r w:rsidRPr="00713F12">
        <w:t xml:space="preserve">Criterion 2.4 – Faculty </w:t>
      </w:r>
      <w:r>
        <w:t>N</w:t>
      </w:r>
      <w:r w:rsidRPr="00713F12">
        <w:t xml:space="preserve">umber and </w:t>
      </w:r>
      <w:r>
        <w:t>U</w:t>
      </w:r>
      <w:r w:rsidRPr="00713F12">
        <w:t>tilization</w:t>
      </w:r>
      <w:r>
        <w:t>:  Class Tutelage and Clinical Supervision</w:t>
      </w:r>
    </w:p>
    <w:tbl>
      <w:tblPr>
        <w:tblStyle w:val="TableGrid"/>
        <w:tblW w:w="0" w:type="auto"/>
        <w:tblLook w:val="04A0"/>
      </w:tblPr>
      <w:tblGrid>
        <w:gridCol w:w="1008"/>
        <w:gridCol w:w="4050"/>
        <w:gridCol w:w="4518"/>
      </w:tblGrid>
      <w:tr w:rsidR="00713F12" w:rsidRPr="00713F12" w:rsidTr="00313FBA">
        <w:tc>
          <w:tcPr>
            <w:tcW w:w="1008" w:type="dxa"/>
            <w:shd w:val="clear" w:color="auto" w:fill="F2F2F2" w:themeFill="background1" w:themeFillShade="F2"/>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Goal:</w:t>
            </w:r>
          </w:p>
        </w:tc>
        <w:tc>
          <w:tcPr>
            <w:tcW w:w="8568" w:type="dxa"/>
            <w:gridSpan w:val="2"/>
            <w:shd w:val="clear" w:color="auto" w:fill="F2F2F2" w:themeFill="background1" w:themeFillShade="F2"/>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85% of students will indicate that class tutelage and clinical supervision are adequate or excellent.  Second Year Students</w:t>
            </w:r>
          </w:p>
        </w:tc>
      </w:tr>
      <w:tr w:rsidR="00713F12" w:rsidRPr="00713F12" w:rsidTr="00E669A4">
        <w:trPr>
          <w:trHeight w:val="41"/>
        </w:trPr>
        <w:tc>
          <w:tcPr>
            <w:tcW w:w="1008" w:type="dxa"/>
          </w:tcPr>
          <w:p w:rsidR="00713F12" w:rsidRPr="00713F12" w:rsidRDefault="00713F12" w:rsidP="00E669A4">
            <w:pPr>
              <w:rPr>
                <w:rFonts w:ascii="Times New Roman" w:hAnsi="Times New Roman"/>
                <w:sz w:val="24"/>
                <w:szCs w:val="24"/>
              </w:rPr>
            </w:pP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Results Class Tutelage</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Results Clinical Supervision</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2009</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2010</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93%</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97%</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2011</w:t>
            </w:r>
          </w:p>
        </w:tc>
        <w:tc>
          <w:tcPr>
            <w:tcW w:w="4050" w:type="dxa"/>
          </w:tcPr>
          <w:p w:rsidR="00713F12" w:rsidRPr="00713F12" w:rsidRDefault="00713F12" w:rsidP="00500753">
            <w:pPr>
              <w:jc w:val="center"/>
              <w:rPr>
                <w:rFonts w:ascii="Times New Roman" w:hAnsi="Times New Roman"/>
                <w:sz w:val="24"/>
                <w:szCs w:val="24"/>
              </w:rPr>
            </w:pPr>
            <w:r w:rsidRPr="00713F12">
              <w:rPr>
                <w:rFonts w:ascii="Times New Roman" w:hAnsi="Times New Roman"/>
                <w:sz w:val="24"/>
                <w:szCs w:val="24"/>
              </w:rPr>
              <w:t>7</w:t>
            </w:r>
            <w:r w:rsidR="00500753">
              <w:rPr>
                <w:rFonts w:ascii="Times New Roman" w:hAnsi="Times New Roman"/>
                <w:sz w:val="24"/>
                <w:szCs w:val="24"/>
              </w:rPr>
              <w:t>5</w:t>
            </w:r>
            <w:r w:rsidRPr="00713F12">
              <w:rPr>
                <w:rFonts w:ascii="Times New Roman" w:hAnsi="Times New Roman"/>
                <w:sz w:val="24"/>
                <w:szCs w:val="24"/>
              </w:rPr>
              <w:t xml:space="preserve">% </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2012</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83%</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94%</w:t>
            </w:r>
          </w:p>
        </w:tc>
      </w:tr>
      <w:tr w:rsidR="00313FBA" w:rsidRPr="00313FBA" w:rsidTr="00E669A4">
        <w:trPr>
          <w:trHeight w:val="38"/>
        </w:trPr>
        <w:tc>
          <w:tcPr>
            <w:tcW w:w="1008" w:type="dxa"/>
          </w:tcPr>
          <w:p w:rsidR="00313FBA" w:rsidRPr="00313FBA" w:rsidRDefault="00313FBA" w:rsidP="00E669A4">
            <w:pPr>
              <w:rPr>
                <w:rFonts w:ascii="Times New Roman" w:hAnsi="Times New Roman"/>
                <w:color w:val="FF0000"/>
                <w:sz w:val="24"/>
                <w:szCs w:val="24"/>
              </w:rPr>
            </w:pPr>
            <w:r w:rsidRPr="00313FBA">
              <w:rPr>
                <w:rFonts w:ascii="Times New Roman" w:hAnsi="Times New Roman"/>
                <w:color w:val="FF0000"/>
                <w:sz w:val="24"/>
                <w:szCs w:val="24"/>
              </w:rPr>
              <w:t>2013?</w:t>
            </w:r>
          </w:p>
        </w:tc>
        <w:tc>
          <w:tcPr>
            <w:tcW w:w="4050" w:type="dxa"/>
          </w:tcPr>
          <w:p w:rsidR="00313FBA" w:rsidRPr="00313FBA" w:rsidRDefault="00313FBA" w:rsidP="00E669A4">
            <w:pPr>
              <w:jc w:val="center"/>
              <w:rPr>
                <w:rFonts w:ascii="Times New Roman" w:hAnsi="Times New Roman"/>
                <w:sz w:val="24"/>
                <w:szCs w:val="24"/>
              </w:rPr>
            </w:pPr>
          </w:p>
        </w:tc>
        <w:tc>
          <w:tcPr>
            <w:tcW w:w="4518" w:type="dxa"/>
          </w:tcPr>
          <w:p w:rsidR="00313FBA" w:rsidRPr="00313FBA" w:rsidRDefault="00313FBA" w:rsidP="00E669A4">
            <w:pPr>
              <w:jc w:val="center"/>
              <w:rPr>
                <w:rFonts w:ascii="Times New Roman" w:hAnsi="Times New Roman"/>
                <w:sz w:val="24"/>
                <w:szCs w:val="24"/>
              </w:rPr>
            </w:pPr>
          </w:p>
        </w:tc>
      </w:tr>
      <w:tr w:rsidR="00713F12" w:rsidRPr="00713F12" w:rsidTr="00313FBA">
        <w:tc>
          <w:tcPr>
            <w:tcW w:w="1008" w:type="dxa"/>
            <w:shd w:val="clear" w:color="auto" w:fill="F2F2F2" w:themeFill="background1" w:themeFillShade="F2"/>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Goal:</w:t>
            </w:r>
          </w:p>
        </w:tc>
        <w:tc>
          <w:tcPr>
            <w:tcW w:w="8568" w:type="dxa"/>
            <w:gridSpan w:val="2"/>
            <w:shd w:val="clear" w:color="auto" w:fill="F2F2F2" w:themeFill="background1" w:themeFillShade="F2"/>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85% of students will indicate that class tutelage and clinical supervision are adequate or excellent.  Third Year Students</w:t>
            </w:r>
          </w:p>
        </w:tc>
      </w:tr>
      <w:tr w:rsidR="00713F12" w:rsidRPr="00713F12" w:rsidTr="00E669A4">
        <w:trPr>
          <w:trHeight w:val="41"/>
        </w:trPr>
        <w:tc>
          <w:tcPr>
            <w:tcW w:w="1008" w:type="dxa"/>
          </w:tcPr>
          <w:p w:rsidR="00713F12" w:rsidRPr="00713F12" w:rsidRDefault="00713F12" w:rsidP="00E669A4">
            <w:pPr>
              <w:rPr>
                <w:rFonts w:ascii="Times New Roman" w:hAnsi="Times New Roman"/>
                <w:sz w:val="24"/>
                <w:szCs w:val="24"/>
              </w:rPr>
            </w:pP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Results Class Tutelage</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Results Clinical Supervision</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2009</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92%</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92%</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2010</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91%</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97%</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2011</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81%</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92%</w:t>
            </w:r>
          </w:p>
        </w:tc>
      </w:tr>
      <w:tr w:rsidR="00713F12" w:rsidRPr="00713F12" w:rsidTr="00E669A4">
        <w:trPr>
          <w:trHeight w:val="38"/>
        </w:trPr>
        <w:tc>
          <w:tcPr>
            <w:tcW w:w="1008" w:type="dxa"/>
          </w:tcPr>
          <w:p w:rsidR="00713F12" w:rsidRPr="00713F12" w:rsidRDefault="00713F12" w:rsidP="00E669A4">
            <w:pPr>
              <w:rPr>
                <w:rFonts w:ascii="Times New Roman" w:hAnsi="Times New Roman"/>
                <w:sz w:val="24"/>
                <w:szCs w:val="24"/>
              </w:rPr>
            </w:pPr>
            <w:r w:rsidRPr="00713F12">
              <w:rPr>
                <w:rFonts w:ascii="Times New Roman" w:hAnsi="Times New Roman"/>
                <w:sz w:val="24"/>
                <w:szCs w:val="24"/>
              </w:rPr>
              <w:t>2012</w:t>
            </w:r>
          </w:p>
        </w:tc>
        <w:tc>
          <w:tcPr>
            <w:tcW w:w="4050"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88%</w:t>
            </w:r>
          </w:p>
        </w:tc>
        <w:tc>
          <w:tcPr>
            <w:tcW w:w="4518" w:type="dxa"/>
          </w:tcPr>
          <w:p w:rsidR="00713F12" w:rsidRPr="00713F12" w:rsidRDefault="00713F12" w:rsidP="00E669A4">
            <w:pPr>
              <w:jc w:val="center"/>
              <w:rPr>
                <w:rFonts w:ascii="Times New Roman" w:hAnsi="Times New Roman"/>
                <w:sz w:val="24"/>
                <w:szCs w:val="24"/>
              </w:rPr>
            </w:pPr>
            <w:r w:rsidRPr="00713F12">
              <w:rPr>
                <w:rFonts w:ascii="Times New Roman" w:hAnsi="Times New Roman"/>
                <w:sz w:val="24"/>
                <w:szCs w:val="24"/>
              </w:rPr>
              <w:t>100%</w:t>
            </w:r>
          </w:p>
        </w:tc>
      </w:tr>
      <w:tr w:rsidR="00313FBA" w:rsidRPr="00313FBA" w:rsidTr="00E669A4">
        <w:trPr>
          <w:trHeight w:val="38"/>
        </w:trPr>
        <w:tc>
          <w:tcPr>
            <w:tcW w:w="1008" w:type="dxa"/>
          </w:tcPr>
          <w:p w:rsidR="00313FBA" w:rsidRPr="00313FBA" w:rsidRDefault="00313FBA" w:rsidP="00E669A4">
            <w:pPr>
              <w:rPr>
                <w:rFonts w:ascii="Times New Roman" w:hAnsi="Times New Roman"/>
                <w:color w:val="FF0000"/>
                <w:sz w:val="24"/>
                <w:szCs w:val="24"/>
              </w:rPr>
            </w:pPr>
            <w:r w:rsidRPr="00313FBA">
              <w:rPr>
                <w:rFonts w:ascii="Times New Roman" w:hAnsi="Times New Roman"/>
                <w:color w:val="FF0000"/>
                <w:sz w:val="24"/>
                <w:szCs w:val="24"/>
              </w:rPr>
              <w:t>2013?</w:t>
            </w:r>
          </w:p>
        </w:tc>
        <w:tc>
          <w:tcPr>
            <w:tcW w:w="4050" w:type="dxa"/>
          </w:tcPr>
          <w:p w:rsidR="00313FBA" w:rsidRPr="00313FBA" w:rsidRDefault="00313FBA" w:rsidP="00E669A4">
            <w:pPr>
              <w:jc w:val="center"/>
              <w:rPr>
                <w:rFonts w:ascii="Times New Roman" w:hAnsi="Times New Roman"/>
                <w:sz w:val="24"/>
                <w:szCs w:val="24"/>
              </w:rPr>
            </w:pPr>
          </w:p>
        </w:tc>
        <w:tc>
          <w:tcPr>
            <w:tcW w:w="4518" w:type="dxa"/>
          </w:tcPr>
          <w:p w:rsidR="00313FBA" w:rsidRPr="00313FBA" w:rsidRDefault="00313FBA" w:rsidP="00E669A4">
            <w:pPr>
              <w:jc w:val="center"/>
              <w:rPr>
                <w:rFonts w:ascii="Times New Roman" w:hAnsi="Times New Roman"/>
                <w:sz w:val="24"/>
                <w:szCs w:val="24"/>
              </w:rPr>
            </w:pPr>
          </w:p>
        </w:tc>
      </w:tr>
    </w:tbl>
    <w:p w:rsidR="009943AE" w:rsidRDefault="009943AE" w:rsidP="00A23C04">
      <w:pPr>
        <w:spacing w:line="480" w:lineRule="auto"/>
        <w:ind w:firstLine="720"/>
        <w:rPr>
          <w:color w:val="C00000"/>
        </w:rPr>
      </w:pPr>
    </w:p>
    <w:p w:rsidR="002C6A31" w:rsidRPr="001955E6" w:rsidRDefault="003F6C65" w:rsidP="00A23C04">
      <w:pPr>
        <w:spacing w:line="480" w:lineRule="auto"/>
        <w:ind w:firstLine="720"/>
      </w:pPr>
      <w:r w:rsidRPr="001955E6">
        <w:t>The school had been utilizing the online learning management system (LMS) through Evolve</w:t>
      </w:r>
      <w:r w:rsidR="00553A2D">
        <w:t xml:space="preserve"> including Virtual Clinical Excu</w:t>
      </w:r>
      <w:r w:rsidR="00CE5FB5">
        <w:t>r</w:t>
      </w:r>
      <w:r w:rsidR="00553A2D">
        <w:t>sions</w:t>
      </w:r>
      <w:r w:rsidR="00974A09">
        <w:t xml:space="preserve"> (VCE)</w:t>
      </w:r>
      <w:r w:rsidRPr="001955E6">
        <w:t xml:space="preserve">.  As the LMS began to be utilized </w:t>
      </w:r>
      <w:r w:rsidR="00CE5FB5">
        <w:t xml:space="preserve">by more schools frequent </w:t>
      </w:r>
      <w:r w:rsidRPr="001955E6">
        <w:t xml:space="preserve">problems arose and satisfaction in the system with students and faculty </w:t>
      </w:r>
      <w:r w:rsidRPr="001955E6">
        <w:lastRenderedPageBreak/>
        <w:t xml:space="preserve">declined.  </w:t>
      </w:r>
      <w:r w:rsidR="00647C17">
        <w:t xml:space="preserve">Examples of problems were, system down </w:t>
      </w:r>
      <w:r w:rsidR="00974A09">
        <w:t xml:space="preserve">frequently </w:t>
      </w:r>
      <w:r w:rsidR="00647C17">
        <w:t xml:space="preserve">and unable to up-load assignments, students unable to open assignments or “see” the discussions, </w:t>
      </w:r>
      <w:r w:rsidR="00974A09">
        <w:t xml:space="preserve">and a </w:t>
      </w:r>
      <w:r w:rsidR="00647C17">
        <w:t>grade book continual problem of not matching faculty</w:t>
      </w:r>
      <w:r w:rsidR="00012F27">
        <w:t xml:space="preserve"> members’</w:t>
      </w:r>
      <w:r w:rsidR="00647C17">
        <w:t xml:space="preserve"> grades. </w:t>
      </w:r>
      <w:r w:rsidR="00974A09">
        <w:t xml:space="preserve">The students also identified many discrepancies between the Evolve learning modules, the textbook and VCE content. </w:t>
      </w:r>
      <w:r w:rsidRPr="001955E6">
        <w:t xml:space="preserve">The school developed a committee to </w:t>
      </w:r>
      <w:r w:rsidR="000B53B1" w:rsidRPr="001955E6">
        <w:t>pursue a grant through the OBN to improve technology in the classrooms and purchase a LMS.  Through PSES and with</w:t>
      </w:r>
      <w:r w:rsidR="00553A2D">
        <w:t xml:space="preserve"> the</w:t>
      </w:r>
      <w:r w:rsidR="000B53B1" w:rsidRPr="001955E6">
        <w:t xml:space="preserve"> award of</w:t>
      </w:r>
      <w:r w:rsidR="00553A2D">
        <w:t xml:space="preserve"> </w:t>
      </w:r>
      <w:r w:rsidR="00FD4397">
        <w:t xml:space="preserve">the </w:t>
      </w:r>
      <w:r w:rsidR="00974A09">
        <w:t xml:space="preserve">OBN classroom </w:t>
      </w:r>
      <w:r w:rsidR="00FD4397">
        <w:t xml:space="preserve">technology and LMS </w:t>
      </w:r>
      <w:r w:rsidR="000B53B1" w:rsidRPr="001955E6">
        <w:t>grant</w:t>
      </w:r>
      <w:r w:rsidR="00FD4397">
        <w:t xml:space="preserve">, </w:t>
      </w:r>
      <w:proofErr w:type="gramStart"/>
      <w:r w:rsidR="00FD4397">
        <w:t>faculty were</w:t>
      </w:r>
      <w:proofErr w:type="gramEnd"/>
      <w:r w:rsidR="00FD4397">
        <w:t xml:space="preserve"> able to </w:t>
      </w:r>
      <w:r w:rsidR="00553A2D">
        <w:t xml:space="preserve">implement </w:t>
      </w:r>
      <w:r w:rsidR="00FD4397">
        <w:t xml:space="preserve">online course delivery, online course orientation, and </w:t>
      </w:r>
      <w:r w:rsidR="000B53B1" w:rsidRPr="001955E6">
        <w:t xml:space="preserve">improved training </w:t>
      </w:r>
      <w:r w:rsidR="009943AE" w:rsidRPr="001955E6">
        <w:t xml:space="preserve">and communication </w:t>
      </w:r>
      <w:r w:rsidR="000B53B1" w:rsidRPr="001955E6">
        <w:t xml:space="preserve">with students and faculty.  </w:t>
      </w:r>
      <w:r w:rsidR="009943AE" w:rsidRPr="001955E6">
        <w:t xml:space="preserve">The new LMS Edvance360 was piloted </w:t>
      </w:r>
      <w:proofErr w:type="gramStart"/>
      <w:r w:rsidR="009943AE" w:rsidRPr="001955E6">
        <w:t>Fall</w:t>
      </w:r>
      <w:proofErr w:type="gramEnd"/>
      <w:r w:rsidR="009943AE" w:rsidRPr="001955E6">
        <w:t xml:space="preserve"> semester 2011 with training sessions </w:t>
      </w:r>
      <w:r w:rsidR="00560305">
        <w:t xml:space="preserve">for students and faculty.  The </w:t>
      </w:r>
      <w:r w:rsidR="00647C17">
        <w:t xml:space="preserve">school </w:t>
      </w:r>
      <w:r w:rsidR="00647C17" w:rsidRPr="001955E6">
        <w:t>adopted</w:t>
      </w:r>
      <w:r w:rsidR="009943AE" w:rsidRPr="001955E6">
        <w:t xml:space="preserve"> </w:t>
      </w:r>
      <w:r w:rsidR="002C6A31" w:rsidRPr="001955E6">
        <w:t xml:space="preserve">Edvance360 </w:t>
      </w:r>
      <w:r w:rsidR="00560305">
        <w:t xml:space="preserve">and implemented it in all courses </w:t>
      </w:r>
      <w:proofErr w:type="gramStart"/>
      <w:r w:rsidR="009943AE" w:rsidRPr="001955E6">
        <w:t>Spring</w:t>
      </w:r>
      <w:proofErr w:type="gramEnd"/>
      <w:r w:rsidR="009943AE" w:rsidRPr="001955E6">
        <w:t xml:space="preserve"> semester 2012.  </w:t>
      </w:r>
    </w:p>
    <w:p w:rsidR="00A9404C" w:rsidRPr="00930764" w:rsidRDefault="000B53B1" w:rsidP="00A23C04">
      <w:pPr>
        <w:spacing w:line="480" w:lineRule="auto"/>
        <w:ind w:firstLine="720"/>
        <w:rPr>
          <w:color w:val="FF0000"/>
        </w:rPr>
      </w:pPr>
      <w:r w:rsidRPr="001955E6">
        <w:t xml:space="preserve"> </w:t>
      </w:r>
      <w:r w:rsidR="009943AE" w:rsidRPr="001955E6">
        <w:t xml:space="preserve">The </w:t>
      </w:r>
      <w:r w:rsidR="00D4659F" w:rsidRPr="001955E6">
        <w:t xml:space="preserve">Faculty Development Committee was concerned about faculty workload with online or hybrid courses so a survey of similar schools and a focused literature search was completed to determine the available evidence regarding faculty workload and online/hybrid courses.  </w:t>
      </w:r>
      <w:proofErr w:type="gramStart"/>
      <w:r w:rsidR="00B374B3">
        <w:t xml:space="preserve">The </w:t>
      </w:r>
      <w:r w:rsidR="00647C17">
        <w:t xml:space="preserve"> articles</w:t>
      </w:r>
      <w:proofErr w:type="gramEnd"/>
      <w:r w:rsidR="00647C17">
        <w:t xml:space="preserve"> specific to workload in </w:t>
      </w:r>
      <w:r w:rsidR="00930764">
        <w:t xml:space="preserve">online courses were summarized and the results were equally split where some research stated the workload was </w:t>
      </w:r>
      <w:r w:rsidR="00B374B3">
        <w:t xml:space="preserve">perceived as </w:t>
      </w:r>
      <w:r w:rsidR="00930764">
        <w:t xml:space="preserve">less and some supported that the workload was </w:t>
      </w:r>
      <w:r w:rsidR="00B374B3">
        <w:t xml:space="preserve">perceived as </w:t>
      </w:r>
      <w:r w:rsidR="00930764">
        <w:t>more</w:t>
      </w:r>
      <w:r w:rsidR="00DE1903">
        <w:t xml:space="preserve"> </w:t>
      </w:r>
      <w:r w:rsidR="00B374B3">
        <w:t xml:space="preserve">work </w:t>
      </w:r>
      <w:r w:rsidR="00DE1903">
        <w:t>for the faculty member</w:t>
      </w:r>
      <w:r w:rsidR="00930764">
        <w:t xml:space="preserve">.  The survey of </w:t>
      </w:r>
      <w:r w:rsidR="00B9237E">
        <w:t xml:space="preserve">similar </w:t>
      </w:r>
      <w:r w:rsidR="00930764">
        <w:t>schools</w:t>
      </w:r>
      <w:r w:rsidR="00B9237E">
        <w:t xml:space="preserve"> of nursing</w:t>
      </w:r>
      <w:r w:rsidR="00D4659F" w:rsidRPr="00930764">
        <w:rPr>
          <w:color w:val="FF0000"/>
        </w:rPr>
        <w:t>….</w:t>
      </w:r>
      <w:r w:rsidR="001955E6" w:rsidRPr="00930764">
        <w:rPr>
          <w:color w:val="FF0000"/>
        </w:rPr>
        <w:t>(</w:t>
      </w:r>
      <w:r w:rsidR="00930764" w:rsidRPr="00930764">
        <w:rPr>
          <w:color w:val="FF0000"/>
        </w:rPr>
        <w:t>schools</w:t>
      </w:r>
      <w:r w:rsidR="00DE1903">
        <w:rPr>
          <w:color w:val="FF0000"/>
        </w:rPr>
        <w:t xml:space="preserve"> – I am not able to fine the results of this 4/13/12 minutes only 4 of 10 returned – results discussed ?</w:t>
      </w:r>
      <w:r w:rsidR="00930764" w:rsidRPr="00930764">
        <w:rPr>
          <w:color w:val="FF0000"/>
        </w:rPr>
        <w:t>)</w:t>
      </w:r>
    </w:p>
    <w:p w:rsidR="00A9404C" w:rsidRPr="009D1AEC" w:rsidRDefault="0079550D" w:rsidP="002C6A31">
      <w:pPr>
        <w:spacing w:line="480" w:lineRule="auto"/>
        <w:ind w:firstLine="720"/>
        <w:rPr>
          <w:sz w:val="18"/>
          <w:szCs w:val="18"/>
        </w:rPr>
      </w:pPr>
      <w:r>
        <w:t xml:space="preserve">The FDC also developed a technology support workgroup Fall semester of 2011, added online and LMS questions to the </w:t>
      </w:r>
      <w:r w:rsidR="00B374B3">
        <w:t xml:space="preserve">course </w:t>
      </w:r>
      <w:r>
        <w:t>evaluations, had technology “</w:t>
      </w:r>
      <w:proofErr w:type="spellStart"/>
      <w:r>
        <w:t>Tid</w:t>
      </w:r>
      <w:proofErr w:type="spellEnd"/>
      <w:r>
        <w:t xml:space="preserve"> Bits” added to Faculty or Curriculum meetings and a Faculty Community in the LMS for questions and sharing of online/technology information. Netiquette guidelines were added to the Faculty Manual</w:t>
      </w:r>
      <w:r w:rsidR="00FD4397">
        <w:t>, hybrid was defined,</w:t>
      </w:r>
      <w:r>
        <w:t xml:space="preserve"> and rubrics were added to help with the grading</w:t>
      </w:r>
      <w:r w:rsidR="00C81375">
        <w:t xml:space="preserve"> of </w:t>
      </w:r>
      <w:r w:rsidR="00B374B3">
        <w:t xml:space="preserve">online </w:t>
      </w:r>
      <w:r w:rsidR="00C81375">
        <w:t xml:space="preserve">discussion groups.  </w:t>
      </w:r>
      <w:r w:rsidR="002C6A31">
        <w:t>T</w:t>
      </w:r>
      <w:r w:rsidR="00930764">
        <w:t xml:space="preserve">wo </w:t>
      </w:r>
      <w:proofErr w:type="gramStart"/>
      <w:r w:rsidR="00930764">
        <w:lastRenderedPageBreak/>
        <w:t>faculty</w:t>
      </w:r>
      <w:proofErr w:type="gramEnd"/>
      <w:r w:rsidR="00930764">
        <w:t xml:space="preserve"> </w:t>
      </w:r>
      <w:r w:rsidR="002C6A31">
        <w:t xml:space="preserve">are the </w:t>
      </w:r>
      <w:r w:rsidR="001955E6">
        <w:t xml:space="preserve">LMS </w:t>
      </w:r>
      <w:r w:rsidR="001955E6" w:rsidRPr="00930764">
        <w:rPr>
          <w:color w:val="FF0000"/>
        </w:rPr>
        <w:t xml:space="preserve">coordinators </w:t>
      </w:r>
      <w:r w:rsidR="001955E6">
        <w:t>and are the Train</w:t>
      </w:r>
      <w:r w:rsidR="00930764">
        <w:t>-</w:t>
      </w:r>
      <w:r w:rsidR="001955E6">
        <w:t>the</w:t>
      </w:r>
      <w:r w:rsidR="00930764">
        <w:t>-</w:t>
      </w:r>
      <w:r w:rsidR="001955E6">
        <w:t xml:space="preserve">Trainers for Edvance360.  </w:t>
      </w:r>
      <w:r w:rsidR="002C6A31">
        <w:t>T</w:t>
      </w:r>
      <w:r w:rsidR="00C81375">
        <w:t xml:space="preserve">raining for the </w:t>
      </w:r>
      <w:r w:rsidR="002C6A31">
        <w:t xml:space="preserve">online </w:t>
      </w:r>
      <w:r w:rsidR="009D1AEC">
        <w:t xml:space="preserve">Assessment Technologies Institute </w:t>
      </w:r>
      <w:r w:rsidR="00930764" w:rsidRPr="009D1AEC">
        <w:t>(</w:t>
      </w:r>
      <w:r w:rsidR="00C81375" w:rsidRPr="009D1AEC">
        <w:t>ATI</w:t>
      </w:r>
      <w:r w:rsidR="00930764" w:rsidRPr="009D1AEC">
        <w:t>)</w:t>
      </w:r>
      <w:r w:rsidR="00C81375">
        <w:t xml:space="preserve"> tutorials</w:t>
      </w:r>
      <w:r w:rsidR="00930764">
        <w:t>, quizzes,</w:t>
      </w:r>
      <w:r w:rsidR="00C81375">
        <w:t xml:space="preserve"> and</w:t>
      </w:r>
      <w:r w:rsidR="00FE6584">
        <w:t xml:space="preserve"> proctored</w:t>
      </w:r>
      <w:r w:rsidR="00C81375">
        <w:t xml:space="preserve"> testing was increased with the </w:t>
      </w:r>
      <w:r w:rsidR="00930764">
        <w:t xml:space="preserve">ATI </w:t>
      </w:r>
      <w:r w:rsidR="00C81375">
        <w:t xml:space="preserve">education representative </w:t>
      </w:r>
      <w:r w:rsidR="00930764">
        <w:t xml:space="preserve">adding additional orientation for </w:t>
      </w:r>
      <w:r w:rsidR="00C81375">
        <w:t>the students</w:t>
      </w:r>
      <w:r w:rsidR="002C6A31">
        <w:t xml:space="preserve"> and faculty</w:t>
      </w:r>
      <w:r w:rsidR="00930764">
        <w:t xml:space="preserve"> plus adding a webinar for orientation</w:t>
      </w:r>
      <w:r w:rsidR="002C6A31">
        <w:t>.</w:t>
      </w:r>
      <w:r w:rsidR="00930764">
        <w:t xml:space="preserve"> </w:t>
      </w:r>
      <w:r w:rsidR="00FD4397">
        <w:t xml:space="preserve">Faculty receive weekly e-mails from ATI representatives for “How </w:t>
      </w:r>
      <w:r w:rsidR="00FE6584">
        <w:t>can we help you this week?” communications.</w:t>
      </w:r>
      <w:r w:rsidR="00FD4397">
        <w:t xml:space="preserve"> Webinars and tutorials are also available for faculty.</w:t>
      </w:r>
      <w:r w:rsidR="00FD6154">
        <w:t xml:space="preserve"> The FDC yearly </w:t>
      </w:r>
      <w:r w:rsidR="00B374B3">
        <w:t xml:space="preserve">education </w:t>
      </w:r>
      <w:r w:rsidR="00FD6154">
        <w:t>programs dedicated two years to online education</w:t>
      </w:r>
      <w:r w:rsidR="00B374B3">
        <w:t xml:space="preserve"> and teaching strategies</w:t>
      </w:r>
      <w:r w:rsidR="00FD6154">
        <w:t>.  The programs were “Teaching Strategies for the 21</w:t>
      </w:r>
      <w:r w:rsidR="00FD6154" w:rsidRPr="00FD6154">
        <w:rPr>
          <w:vertAlign w:val="superscript"/>
        </w:rPr>
        <w:t>st</w:t>
      </w:r>
      <w:r w:rsidR="00FD6154">
        <w:t xml:space="preserve"> Century” by R. Young and “Teaching and Learning Online: Tips and Tricks from the Trenches”, by D. Spurlock</w:t>
      </w:r>
      <w:r w:rsidR="00FD6154" w:rsidRPr="009D1AEC">
        <w:t xml:space="preserve">.  An added bonus to faculty experience is that </w:t>
      </w:r>
      <w:r w:rsidR="009C5A6B" w:rsidRPr="009D1AEC">
        <w:t>the newer</w:t>
      </w:r>
      <w:r w:rsidR="00FD6154" w:rsidRPr="009D1AEC">
        <w:t xml:space="preserve"> faculty hired have all had experience with online teaching and learning.</w:t>
      </w:r>
    </w:p>
    <w:p w:rsidR="002E691F" w:rsidRPr="00B9237E" w:rsidRDefault="002E691F" w:rsidP="002E691F">
      <w:pPr>
        <w:spacing w:line="480" w:lineRule="auto"/>
        <w:rPr>
          <w:color w:val="FF0000"/>
        </w:rPr>
      </w:pPr>
      <w:r>
        <w:tab/>
      </w:r>
      <w:r w:rsidR="00553A2D">
        <w:t>Faculty workload also evaluates faculty/student ratio</w:t>
      </w:r>
      <w:r w:rsidR="009C5A6B">
        <w:t>s</w:t>
      </w:r>
      <w:r w:rsidR="00553A2D">
        <w:t xml:space="preserve"> in the classroom</w:t>
      </w:r>
      <w:r w:rsidR="00B9237E">
        <w:t xml:space="preserve">, </w:t>
      </w:r>
      <w:r w:rsidR="00B9237E" w:rsidRPr="009D1AEC">
        <w:t>lab</w:t>
      </w:r>
      <w:r w:rsidR="00FD6154" w:rsidRPr="009D1AEC">
        <w:t>,</w:t>
      </w:r>
      <w:r w:rsidR="00B9237E">
        <w:t xml:space="preserve"> and </w:t>
      </w:r>
      <w:r w:rsidR="00553A2D">
        <w:t xml:space="preserve">clinical.  </w:t>
      </w:r>
      <w:r>
        <w:t xml:space="preserve">The Director sets a maximum faculty/student ratio of 1:15 for clinical supervision.  In the Nursing Foundations course, the ratio is not to exceed 1:7 for clinical supervision.  These standards are included in the policy entitled </w:t>
      </w:r>
      <w:r w:rsidR="00B374B3">
        <w:rPr>
          <w:color w:val="FF0000"/>
        </w:rPr>
        <w:t xml:space="preserve">  changed </w:t>
      </w:r>
      <w:r w:rsidR="000C4E4F">
        <w:rPr>
          <w:color w:val="FF0000"/>
        </w:rPr>
        <w:t>___________</w:t>
      </w:r>
      <w:r w:rsidR="00B374B3">
        <w:rPr>
          <w:color w:val="FF0000"/>
        </w:rPr>
        <w:t xml:space="preserve"> </w:t>
      </w:r>
      <w:proofErr w:type="gramStart"/>
      <w:r>
        <w:t>The</w:t>
      </w:r>
      <w:proofErr w:type="gramEnd"/>
      <w:r>
        <w:t xml:space="preserve"> chart below reflects the faculty student ratio in class</w:t>
      </w:r>
      <w:r w:rsidR="009C5A6B">
        <w:t>, lab,</w:t>
      </w:r>
      <w:r>
        <w:t xml:space="preserve"> and clinical for the courses during t</w:t>
      </w:r>
      <w:r w:rsidR="009D1AEC">
        <w:t>h</w:t>
      </w:r>
      <w:r>
        <w:t xml:space="preserve">e </w:t>
      </w:r>
      <w:r w:rsidRPr="00553A2D">
        <w:t>2012 – 2013</w:t>
      </w:r>
      <w:r>
        <w:t xml:space="preserve"> school year.</w:t>
      </w:r>
      <w:r w:rsidR="00B9237E">
        <w:t xml:space="preserve">  </w:t>
      </w:r>
    </w:p>
    <w:p w:rsidR="002E691F" w:rsidRPr="00B374B3" w:rsidRDefault="002E691F" w:rsidP="002E691F">
      <w:pPr>
        <w:rPr>
          <w:color w:val="FF0000"/>
        </w:rPr>
      </w:pPr>
      <w:r>
        <w:t>Faculty Student Ratio in Classroom and Clinical:</w:t>
      </w:r>
      <w:r w:rsidR="00FE6584">
        <w:t xml:space="preserve">  </w:t>
      </w:r>
      <w:r w:rsidR="00B374B3">
        <w:rPr>
          <w:color w:val="FF0000"/>
        </w:rPr>
        <w:t>Update at reading time with everyone</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08"/>
        <w:gridCol w:w="1710"/>
        <w:gridCol w:w="1620"/>
        <w:gridCol w:w="1710"/>
        <w:gridCol w:w="1890"/>
      </w:tblGrid>
      <w:tr w:rsidR="00B9237E" w:rsidRPr="006A20DC" w:rsidTr="00B9237E">
        <w:trPr>
          <w:cantSplit/>
        </w:trPr>
        <w:tc>
          <w:tcPr>
            <w:tcW w:w="2808" w:type="dxa"/>
            <w:shd w:val="pct5" w:color="auto" w:fill="auto"/>
          </w:tcPr>
          <w:p w:rsidR="00B9237E" w:rsidRDefault="00B9237E" w:rsidP="00E669A4">
            <w:pPr>
              <w:rPr>
                <w:b/>
                <w:sz w:val="22"/>
              </w:rPr>
            </w:pPr>
          </w:p>
          <w:p w:rsidR="00B9237E" w:rsidRPr="006A20DC" w:rsidRDefault="00B9237E" w:rsidP="00E669A4">
            <w:pPr>
              <w:rPr>
                <w:b/>
                <w:sz w:val="22"/>
              </w:rPr>
            </w:pPr>
            <w:r w:rsidRPr="006A20DC">
              <w:rPr>
                <w:b/>
                <w:sz w:val="22"/>
                <w:szCs w:val="22"/>
              </w:rPr>
              <w:t>Name of Course</w:t>
            </w:r>
          </w:p>
        </w:tc>
        <w:tc>
          <w:tcPr>
            <w:tcW w:w="1710" w:type="dxa"/>
            <w:shd w:val="pct5" w:color="auto" w:fill="auto"/>
          </w:tcPr>
          <w:p w:rsidR="00B9237E" w:rsidRPr="006A20DC" w:rsidRDefault="00B9237E" w:rsidP="00E669A4">
            <w:pPr>
              <w:jc w:val="center"/>
              <w:rPr>
                <w:b/>
                <w:sz w:val="22"/>
              </w:rPr>
            </w:pPr>
            <w:r w:rsidRPr="006A20DC">
              <w:rPr>
                <w:b/>
                <w:sz w:val="22"/>
                <w:szCs w:val="22"/>
              </w:rPr>
              <w:t xml:space="preserve">Classroom </w:t>
            </w:r>
            <w:r>
              <w:rPr>
                <w:b/>
                <w:sz w:val="22"/>
                <w:szCs w:val="22"/>
              </w:rPr>
              <w:t>Faculty</w:t>
            </w:r>
            <w:r w:rsidRPr="006A20DC">
              <w:rPr>
                <w:b/>
                <w:sz w:val="22"/>
                <w:szCs w:val="22"/>
              </w:rPr>
              <w:t>:</w:t>
            </w:r>
          </w:p>
          <w:p w:rsidR="00B9237E" w:rsidRPr="006A20DC" w:rsidRDefault="00B9237E" w:rsidP="00E669A4">
            <w:pPr>
              <w:jc w:val="center"/>
              <w:rPr>
                <w:b/>
                <w:sz w:val="22"/>
              </w:rPr>
            </w:pPr>
            <w:r w:rsidRPr="006A20DC">
              <w:rPr>
                <w:b/>
                <w:sz w:val="22"/>
                <w:szCs w:val="22"/>
              </w:rPr>
              <w:t>Student Ratio</w:t>
            </w:r>
          </w:p>
        </w:tc>
        <w:tc>
          <w:tcPr>
            <w:tcW w:w="1620" w:type="dxa"/>
            <w:shd w:val="pct5" w:color="auto" w:fill="auto"/>
          </w:tcPr>
          <w:p w:rsidR="00B9237E" w:rsidRDefault="00B9237E" w:rsidP="00E669A4">
            <w:pPr>
              <w:jc w:val="center"/>
              <w:rPr>
                <w:b/>
                <w:sz w:val="22"/>
              </w:rPr>
            </w:pPr>
            <w:r>
              <w:rPr>
                <w:b/>
                <w:sz w:val="22"/>
                <w:szCs w:val="22"/>
              </w:rPr>
              <w:t>Lab</w:t>
            </w:r>
          </w:p>
          <w:p w:rsidR="00B9237E" w:rsidRDefault="00B9237E" w:rsidP="00E669A4">
            <w:pPr>
              <w:jc w:val="center"/>
              <w:rPr>
                <w:b/>
                <w:sz w:val="22"/>
              </w:rPr>
            </w:pPr>
            <w:r>
              <w:rPr>
                <w:b/>
                <w:sz w:val="22"/>
                <w:szCs w:val="22"/>
              </w:rPr>
              <w:t>Faculty:</w:t>
            </w:r>
          </w:p>
          <w:p w:rsidR="00B9237E" w:rsidRPr="006A20DC" w:rsidRDefault="00B9237E" w:rsidP="00E669A4">
            <w:pPr>
              <w:jc w:val="center"/>
              <w:rPr>
                <w:b/>
                <w:sz w:val="22"/>
              </w:rPr>
            </w:pPr>
            <w:r>
              <w:rPr>
                <w:b/>
                <w:sz w:val="22"/>
                <w:szCs w:val="22"/>
              </w:rPr>
              <w:t>Student Ratio</w:t>
            </w:r>
          </w:p>
        </w:tc>
        <w:tc>
          <w:tcPr>
            <w:tcW w:w="1710" w:type="dxa"/>
            <w:shd w:val="pct5" w:color="auto" w:fill="auto"/>
          </w:tcPr>
          <w:p w:rsidR="00B9237E" w:rsidRDefault="00B9237E" w:rsidP="00E669A4">
            <w:pPr>
              <w:jc w:val="center"/>
              <w:rPr>
                <w:b/>
                <w:sz w:val="22"/>
              </w:rPr>
            </w:pPr>
            <w:r>
              <w:rPr>
                <w:b/>
                <w:sz w:val="22"/>
                <w:szCs w:val="22"/>
              </w:rPr>
              <w:t>Clinical</w:t>
            </w:r>
          </w:p>
          <w:p w:rsidR="00B9237E" w:rsidRPr="006A20DC" w:rsidRDefault="00B9237E" w:rsidP="00E669A4">
            <w:pPr>
              <w:jc w:val="center"/>
              <w:rPr>
                <w:b/>
                <w:sz w:val="22"/>
              </w:rPr>
            </w:pPr>
            <w:r w:rsidRPr="006A20DC">
              <w:rPr>
                <w:b/>
                <w:sz w:val="22"/>
                <w:szCs w:val="22"/>
              </w:rPr>
              <w:t>Faculty: Student Ratio</w:t>
            </w:r>
          </w:p>
        </w:tc>
        <w:tc>
          <w:tcPr>
            <w:tcW w:w="1890" w:type="dxa"/>
            <w:shd w:val="pct5" w:color="auto" w:fill="auto"/>
          </w:tcPr>
          <w:p w:rsidR="00B9237E" w:rsidRPr="006A20DC" w:rsidRDefault="00B9237E" w:rsidP="004C44D5">
            <w:pPr>
              <w:jc w:val="center"/>
              <w:rPr>
                <w:b/>
                <w:sz w:val="22"/>
              </w:rPr>
            </w:pPr>
            <w:r w:rsidRPr="006A20DC">
              <w:rPr>
                <w:b/>
                <w:sz w:val="22"/>
                <w:szCs w:val="22"/>
              </w:rPr>
              <w:t xml:space="preserve">Total #  </w:t>
            </w:r>
          </w:p>
          <w:p w:rsidR="00B9237E" w:rsidRDefault="00B9237E" w:rsidP="004C44D5">
            <w:pPr>
              <w:jc w:val="center"/>
              <w:rPr>
                <w:b/>
                <w:sz w:val="22"/>
              </w:rPr>
            </w:pPr>
            <w:r w:rsidRPr="006A20DC">
              <w:rPr>
                <w:b/>
                <w:sz w:val="22"/>
                <w:szCs w:val="22"/>
              </w:rPr>
              <w:t>Students</w:t>
            </w:r>
          </w:p>
          <w:p w:rsidR="00B9237E" w:rsidRPr="006A20DC" w:rsidRDefault="00B9237E" w:rsidP="004C44D5">
            <w:pPr>
              <w:jc w:val="center"/>
              <w:rPr>
                <w:b/>
                <w:sz w:val="22"/>
              </w:rPr>
            </w:pPr>
            <w:r>
              <w:rPr>
                <w:b/>
                <w:sz w:val="22"/>
                <w:szCs w:val="22"/>
              </w:rPr>
              <w:t xml:space="preserve"> E</w:t>
            </w:r>
            <w:r w:rsidRPr="006A20DC">
              <w:rPr>
                <w:b/>
                <w:sz w:val="22"/>
                <w:szCs w:val="22"/>
              </w:rPr>
              <w:t>nrolled</w:t>
            </w: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Nursing Care of Adults II</w:t>
            </w:r>
            <w:r>
              <w:rPr>
                <w:sz w:val="22"/>
                <w:szCs w:val="22"/>
              </w:rPr>
              <w:t>-1</w:t>
            </w:r>
            <w:r w:rsidRPr="00977FAE">
              <w:rPr>
                <w:sz w:val="22"/>
                <w:szCs w:val="22"/>
                <w:vertAlign w:val="superscript"/>
              </w:rPr>
              <w:t>st</w:t>
            </w:r>
            <w:r>
              <w:rPr>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smartTag w:uri="urn:schemas-microsoft-com:office:smarttags" w:element="time">
              <w:smartTagPr>
                <w:attr w:name="Hour" w:val="13"/>
                <w:attr w:name="Minute" w:val="10"/>
              </w:smartTagPr>
              <w:r w:rsidRPr="006A20DC">
                <w:rPr>
                  <w:sz w:val="22"/>
                  <w:szCs w:val="22"/>
                </w:rPr>
                <w:t xml:space="preserve">1: </w:t>
              </w:r>
              <w:r>
                <w:rPr>
                  <w:sz w:val="22"/>
                  <w:szCs w:val="22"/>
                </w:rPr>
                <w:t>10</w:t>
              </w:r>
            </w:smartTag>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Psychiatric Nursing</w:t>
            </w:r>
            <w:r>
              <w:rPr>
                <w:sz w:val="22"/>
                <w:szCs w:val="22"/>
              </w:rPr>
              <w:t>-1</w:t>
            </w:r>
            <w:r w:rsidRPr="00977FAE">
              <w:rPr>
                <w:sz w:val="22"/>
                <w:szCs w:val="22"/>
                <w:vertAlign w:val="superscript"/>
              </w:rPr>
              <w:t>st</w:t>
            </w:r>
            <w:r>
              <w:rPr>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r w:rsidRPr="006A20DC">
              <w:rPr>
                <w:sz w:val="22"/>
                <w:szCs w:val="22"/>
              </w:rPr>
              <w:t xml:space="preserve">1: </w:t>
            </w:r>
            <w:r>
              <w:rPr>
                <w:sz w:val="22"/>
                <w:szCs w:val="22"/>
              </w:rPr>
              <w:t>9</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Nursing Care of Adults II</w:t>
            </w:r>
            <w:r>
              <w:rPr>
                <w:sz w:val="22"/>
                <w:szCs w:val="22"/>
              </w:rPr>
              <w:t>-2</w:t>
            </w:r>
            <w:r w:rsidRPr="00977FAE">
              <w:rPr>
                <w:sz w:val="22"/>
                <w:szCs w:val="22"/>
                <w:vertAlign w:val="superscript"/>
              </w:rPr>
              <w:t>nd</w:t>
            </w:r>
            <w:r>
              <w:rPr>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r w:rsidRPr="006A20DC">
              <w:rPr>
                <w:sz w:val="22"/>
                <w:szCs w:val="22"/>
              </w:rPr>
              <w:t xml:space="preserve">1: </w:t>
            </w:r>
            <w:r>
              <w:rPr>
                <w:sz w:val="22"/>
                <w:szCs w:val="22"/>
              </w:rPr>
              <w:t>9</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Psychiatric Nursing</w:t>
            </w:r>
            <w:r>
              <w:rPr>
                <w:sz w:val="22"/>
                <w:szCs w:val="22"/>
              </w:rPr>
              <w:t>-2</w:t>
            </w:r>
            <w:r w:rsidRPr="00977FAE">
              <w:rPr>
                <w:sz w:val="22"/>
                <w:szCs w:val="22"/>
                <w:vertAlign w:val="superscript"/>
              </w:rPr>
              <w:t>nd</w:t>
            </w:r>
            <w:r>
              <w:rPr>
                <w:sz w:val="22"/>
                <w:szCs w:val="22"/>
              </w:rPr>
              <w:t xml:space="preserve"> </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smartTag w:uri="urn:schemas-microsoft-com:office:smarttags" w:element="time">
              <w:smartTagPr>
                <w:attr w:name="Hour" w:val="13"/>
                <w:attr w:name="Minute" w:val="10"/>
              </w:smartTagPr>
              <w:r w:rsidRPr="006A20DC">
                <w:rPr>
                  <w:sz w:val="22"/>
                  <w:szCs w:val="22"/>
                </w:rPr>
                <w:t xml:space="preserve">1: </w:t>
              </w:r>
              <w:r>
                <w:rPr>
                  <w:sz w:val="22"/>
                  <w:szCs w:val="22"/>
                </w:rPr>
                <w:t>10</w:t>
              </w:r>
            </w:smartTag>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Nursing Foundations</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FE6584">
            <w:pPr>
              <w:jc w:val="center"/>
              <w:rPr>
                <w:sz w:val="22"/>
              </w:rPr>
            </w:pPr>
            <w:r w:rsidRPr="006A20DC">
              <w:rPr>
                <w:sz w:val="22"/>
                <w:szCs w:val="22"/>
              </w:rPr>
              <w:t>1:</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Maternal Child Nursing</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FE6584">
            <w:pPr>
              <w:jc w:val="center"/>
              <w:rPr>
                <w:sz w:val="22"/>
              </w:rPr>
            </w:pPr>
            <w:r w:rsidRPr="006A20DC">
              <w:rPr>
                <w:sz w:val="22"/>
                <w:szCs w:val="22"/>
              </w:rPr>
              <w:t>1:</w:t>
            </w:r>
            <w:r>
              <w:rPr>
                <w:sz w:val="22"/>
                <w:szCs w:val="22"/>
              </w:rPr>
              <w:t>36</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9C5A6B" w:rsidP="009C5A6B">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szCs w:val="22"/>
              </w:rPr>
              <w:t>36</w:t>
            </w: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Pr>
                <w:sz w:val="22"/>
                <w:szCs w:val="22"/>
              </w:rPr>
              <w:t>Nursing Access</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r>
              <w:rPr>
                <w:sz w:val="22"/>
                <w:szCs w:val="22"/>
              </w:rPr>
              <w:t>1:1</w:t>
            </w:r>
            <w:r w:rsidRPr="00553A2D">
              <w:rPr>
                <w:sz w:val="22"/>
                <w:szCs w:val="22"/>
              </w:rPr>
              <w:t>7</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9C5A6B" w:rsidP="009C5A6B">
            <w:pPr>
              <w:jc w:val="center"/>
              <w:rPr>
                <w:sz w:val="22"/>
              </w:rPr>
            </w:pPr>
            <w:r>
              <w:rPr>
                <w:sz w:val="22"/>
              </w:rPr>
              <w:t>N/A</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szCs w:val="22"/>
              </w:rPr>
              <w:t>1</w:t>
            </w:r>
            <w:r w:rsidRPr="00553A2D">
              <w:rPr>
                <w:sz w:val="22"/>
                <w:szCs w:val="22"/>
              </w:rPr>
              <w:t>7</w:t>
            </w: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Nursing Care of Adults I</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smartTag w:uri="urn:schemas-microsoft-com:office:smarttags" w:element="time">
              <w:smartTagPr>
                <w:attr w:name="Hour" w:val="13"/>
                <w:attr w:name="Minute" w:val="23"/>
              </w:smartTagPr>
              <w:r w:rsidRPr="006A20DC">
                <w:rPr>
                  <w:sz w:val="22"/>
                  <w:szCs w:val="22"/>
                </w:rPr>
                <w:t>1:</w:t>
              </w:r>
              <w:r>
                <w:rPr>
                  <w:sz w:val="22"/>
                  <w:szCs w:val="22"/>
                </w:rPr>
                <w:t>23</w:t>
              </w:r>
            </w:smartTag>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szCs w:val="22"/>
              </w:rPr>
              <w:t>23</w:t>
            </w: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Nursing Care of Adults III</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553A2D">
            <w:pPr>
              <w:jc w:val="center"/>
              <w:rPr>
                <w:sz w:val="22"/>
              </w:rPr>
            </w:pPr>
            <w:r w:rsidRPr="006A20DC">
              <w:rPr>
                <w:sz w:val="22"/>
                <w:szCs w:val="22"/>
              </w:rPr>
              <w:t>1:</w:t>
            </w:r>
            <w:r>
              <w:rPr>
                <w:sz w:val="22"/>
                <w:szCs w:val="22"/>
              </w:rPr>
              <w:t>33</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szCs w:val="22"/>
              </w:rPr>
              <w:t>33</w:t>
            </w: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Pr>
                <w:sz w:val="22"/>
                <w:szCs w:val="22"/>
              </w:rPr>
              <w:t>Medical Surgical Advanced Concepts – Fast LANE</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FE6584">
            <w:pPr>
              <w:jc w:val="center"/>
              <w:rPr>
                <w:sz w:val="22"/>
              </w:rPr>
            </w:pPr>
            <w:r>
              <w:rPr>
                <w:sz w:val="22"/>
                <w:szCs w:val="22"/>
              </w:rPr>
              <w:t>1:16</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890" w:type="dxa"/>
            <w:tcBorders>
              <w:top w:val="single" w:sz="6" w:space="0" w:color="auto"/>
              <w:left w:val="single" w:sz="6" w:space="0" w:color="auto"/>
              <w:bottom w:val="single" w:sz="6" w:space="0" w:color="auto"/>
              <w:right w:val="single" w:sz="6" w:space="0" w:color="auto"/>
            </w:tcBorders>
          </w:tcPr>
          <w:p w:rsidR="004303BD" w:rsidRDefault="004303BD" w:rsidP="004C44D5">
            <w:pPr>
              <w:jc w:val="center"/>
              <w:rPr>
                <w:sz w:val="22"/>
              </w:rPr>
            </w:pPr>
            <w:r>
              <w:rPr>
                <w:sz w:val="22"/>
                <w:szCs w:val="22"/>
              </w:rPr>
              <w:t>16</w:t>
            </w:r>
          </w:p>
        </w:tc>
      </w:tr>
      <w:tr w:rsidR="004303BD" w:rsidRPr="006A20DC" w:rsidTr="00B9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08"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rPr>
                <w:sz w:val="22"/>
              </w:rPr>
            </w:pPr>
            <w:r w:rsidRPr="006A20DC">
              <w:rPr>
                <w:sz w:val="22"/>
                <w:szCs w:val="22"/>
              </w:rPr>
              <w:t>Current Issues</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553A2D">
            <w:pPr>
              <w:jc w:val="center"/>
              <w:rPr>
                <w:sz w:val="22"/>
              </w:rPr>
            </w:pPr>
            <w:r w:rsidRPr="006A20DC">
              <w:rPr>
                <w:sz w:val="22"/>
                <w:szCs w:val="22"/>
              </w:rPr>
              <w:t>1:</w:t>
            </w:r>
            <w:r>
              <w:rPr>
                <w:sz w:val="22"/>
                <w:szCs w:val="22"/>
              </w:rPr>
              <w:t>33</w:t>
            </w:r>
          </w:p>
        </w:tc>
        <w:tc>
          <w:tcPr>
            <w:tcW w:w="162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rPr>
              <w:t>1:</w:t>
            </w:r>
          </w:p>
        </w:tc>
        <w:tc>
          <w:tcPr>
            <w:tcW w:w="1710" w:type="dxa"/>
            <w:tcBorders>
              <w:top w:val="single" w:sz="6" w:space="0" w:color="auto"/>
              <w:left w:val="single" w:sz="6" w:space="0" w:color="auto"/>
              <w:bottom w:val="single" w:sz="6" w:space="0" w:color="auto"/>
              <w:right w:val="single" w:sz="6" w:space="0" w:color="auto"/>
            </w:tcBorders>
          </w:tcPr>
          <w:p w:rsidR="004303BD" w:rsidRPr="006A20DC" w:rsidRDefault="004303BD" w:rsidP="00E669A4">
            <w:pPr>
              <w:jc w:val="center"/>
              <w:rPr>
                <w:sz w:val="22"/>
              </w:rPr>
            </w:pPr>
            <w:r w:rsidRPr="006A20DC">
              <w:rPr>
                <w:sz w:val="22"/>
                <w:szCs w:val="22"/>
              </w:rPr>
              <w:t>N/A</w:t>
            </w:r>
          </w:p>
        </w:tc>
        <w:tc>
          <w:tcPr>
            <w:tcW w:w="1890" w:type="dxa"/>
            <w:tcBorders>
              <w:top w:val="single" w:sz="6" w:space="0" w:color="auto"/>
              <w:left w:val="single" w:sz="6" w:space="0" w:color="auto"/>
              <w:bottom w:val="single" w:sz="6" w:space="0" w:color="auto"/>
              <w:right w:val="single" w:sz="6" w:space="0" w:color="auto"/>
            </w:tcBorders>
          </w:tcPr>
          <w:p w:rsidR="004303BD" w:rsidRPr="006A20DC" w:rsidRDefault="004303BD" w:rsidP="004C44D5">
            <w:pPr>
              <w:jc w:val="center"/>
              <w:rPr>
                <w:sz w:val="22"/>
              </w:rPr>
            </w:pPr>
            <w:r>
              <w:rPr>
                <w:sz w:val="22"/>
                <w:szCs w:val="22"/>
              </w:rPr>
              <w:t>33</w:t>
            </w:r>
          </w:p>
        </w:tc>
      </w:tr>
    </w:tbl>
    <w:p w:rsidR="002E691F" w:rsidRDefault="002E691F" w:rsidP="002E691F"/>
    <w:p w:rsidR="002E691F" w:rsidRDefault="002E691F" w:rsidP="002E691F">
      <w:pPr>
        <w:spacing w:line="480" w:lineRule="auto"/>
      </w:pPr>
      <w:r>
        <w:lastRenderedPageBreak/>
        <w:tab/>
        <w:t>The Faculty Development Committee annually gathers data on faculty classroom and clinical hours as well as faculty/student ratios</w:t>
      </w:r>
      <w:r w:rsidR="00B374B3">
        <w:t>.</w:t>
      </w:r>
      <w:r>
        <w:t xml:space="preserve">  This information is used to evaluate the FRMCSN personnel policies:</w:t>
      </w:r>
    </w:p>
    <w:p w:rsidR="002E691F" w:rsidRDefault="002E691F" w:rsidP="002E691F">
      <w:pPr>
        <w:numPr>
          <w:ilvl w:val="0"/>
          <w:numId w:val="2"/>
        </w:numPr>
        <w:spacing w:line="480" w:lineRule="auto"/>
      </w:pPr>
      <w:r>
        <w:t>Over the period of each semester and the academic year, supervision of students in the clinical area shall not exceed an average of 16 hours per week.</w:t>
      </w:r>
    </w:p>
    <w:p w:rsidR="002E691F" w:rsidRDefault="002E691F" w:rsidP="002E691F">
      <w:pPr>
        <w:numPr>
          <w:ilvl w:val="0"/>
          <w:numId w:val="2"/>
        </w:numPr>
        <w:spacing w:line="480" w:lineRule="auto"/>
      </w:pPr>
      <w:r>
        <w:t xml:space="preserve">Over the period of each semester and the academic year, the average number of hours of classroom instruction for individual </w:t>
      </w:r>
      <w:r w:rsidRPr="00786EB9">
        <w:t>faculty</w:t>
      </w:r>
      <w:r>
        <w:rPr>
          <w:color w:val="FF0000"/>
        </w:rPr>
        <w:t xml:space="preserve"> </w:t>
      </w:r>
      <w:r>
        <w:t>shall not exceed an average of 12 hours per week.</w:t>
      </w:r>
    </w:p>
    <w:p w:rsidR="002E691F" w:rsidRDefault="002E691F" w:rsidP="002E691F">
      <w:pPr>
        <w:spacing w:line="480" w:lineRule="auto"/>
      </w:pPr>
      <w:r>
        <w:tab/>
        <w:t xml:space="preserve">The analysis of data </w:t>
      </w:r>
      <w:r w:rsidR="00694145">
        <w:t xml:space="preserve">from the faculty workload study done in 2010 </w:t>
      </w:r>
      <w:r>
        <w:t xml:space="preserve">demonstrated no faculty member exceeded the average of 12 classroom hours per week of instruction or 16 hours per week of supervision in the clinical area.  Each faculty member completes a faculty data record yearly.  In addition, course coordinators complete the </w:t>
      </w:r>
      <w:r w:rsidRPr="00786EB9">
        <w:t>Faculty</w:t>
      </w:r>
      <w:r>
        <w:rPr>
          <w:color w:val="FF0000"/>
        </w:rPr>
        <w:t xml:space="preserve"> </w:t>
      </w:r>
      <w:r>
        <w:t xml:space="preserve">Course Report Evaluation Summary, listing hours in classroom teaching and clinical supervision among all course teaching participants.  </w:t>
      </w:r>
      <w:r w:rsidR="00AD0F52">
        <w:t xml:space="preserve">The school has developed a chart for each course that includes where all the hours are split for theory (online and in class), clinical, lab, simulation, and observation. </w:t>
      </w:r>
      <w:r>
        <w:t>A summary of the data is completed by F</w:t>
      </w:r>
      <w:r w:rsidR="00AD0F52">
        <w:t>DC</w:t>
      </w:r>
      <w:r>
        <w:t xml:space="preserve"> as part of the </w:t>
      </w:r>
      <w:r w:rsidR="000C4E4F">
        <w:t>p</w:t>
      </w:r>
      <w:r>
        <w:t xml:space="preserve">lan for </w:t>
      </w:r>
      <w:r w:rsidR="000C4E4F">
        <w:t>s</w:t>
      </w:r>
      <w:r>
        <w:t xml:space="preserve">ystematic </w:t>
      </w:r>
      <w:r w:rsidR="000C4E4F">
        <w:t>e</w:t>
      </w:r>
      <w:r>
        <w:t xml:space="preserve">valuation of the </w:t>
      </w:r>
      <w:r w:rsidR="000C4E4F">
        <w:t>s</w:t>
      </w:r>
      <w:r>
        <w:t>chool</w:t>
      </w:r>
      <w:r w:rsidR="00786EB9">
        <w:t>.</w:t>
      </w:r>
      <w:r w:rsidR="00245940">
        <w:t xml:space="preserve">  </w:t>
      </w:r>
    </w:p>
    <w:p w:rsidR="00245940" w:rsidRDefault="00245940" w:rsidP="002E691F">
      <w:pPr>
        <w:spacing w:line="480" w:lineRule="auto"/>
      </w:pPr>
      <w:r>
        <w:t xml:space="preserve">Based upon the feedback from students and faculty members, the workload of classroom and clinical teaching as being manageable, and results from the workload study all support that the number and utilization of faculty ensure that the </w:t>
      </w:r>
      <w:r w:rsidR="00554C3C">
        <w:t xml:space="preserve">nursing </w:t>
      </w:r>
      <w:r>
        <w:t>program outcomes are</w:t>
      </w:r>
      <w:r w:rsidR="00554C3C">
        <w:t xml:space="preserve"> being </w:t>
      </w:r>
      <w:r>
        <w:t xml:space="preserve">achieved. </w:t>
      </w:r>
    </w:p>
    <w:p w:rsidR="00425A8F" w:rsidRDefault="002E691F" w:rsidP="00425A8F">
      <w:pPr>
        <w:spacing w:line="480" w:lineRule="auto"/>
        <w:rPr>
          <w:b/>
        </w:rPr>
      </w:pPr>
      <w:r>
        <w:tab/>
      </w:r>
      <w:r w:rsidR="00425A8F">
        <w:rPr>
          <w:b/>
        </w:rPr>
        <w:t>Criterion 2.5     Faculty (full- and part-time) performance reflects scholarship and evidence-based teaching and clinical practices.</w:t>
      </w:r>
    </w:p>
    <w:p w:rsidR="005F11B4" w:rsidRPr="00313FBA" w:rsidRDefault="000C4E4F" w:rsidP="00F42790">
      <w:pPr>
        <w:spacing w:line="480" w:lineRule="auto"/>
        <w:ind w:firstLine="720"/>
        <w:rPr>
          <w:color w:val="FF0000"/>
        </w:rPr>
      </w:pPr>
      <w:r>
        <w:t xml:space="preserve">The workload of a faculty member encompasses teaching, service and scholarship. </w:t>
      </w:r>
      <w:r w:rsidR="00F42790">
        <w:t xml:space="preserve">Scholarship encompasses nursing faculty accomplishments in attainment or renewal of </w:t>
      </w:r>
      <w:r w:rsidR="00F42790">
        <w:lastRenderedPageBreak/>
        <w:t xml:space="preserve">certification in advanced nursing practice, certification in nursing specialty, publication, presentations at nursing education continuing education programs, poster presentations, </w:t>
      </w:r>
      <w:proofErr w:type="gramStart"/>
      <w:r w:rsidR="00F42790">
        <w:t>membership</w:t>
      </w:r>
      <w:proofErr w:type="gramEnd"/>
      <w:r w:rsidR="00F42790">
        <w:t xml:space="preserve"> in professional organizations, awards, and research. </w:t>
      </w:r>
      <w:r w:rsidR="005F11B4">
        <w:t xml:space="preserve">Nursing faculty members have academic or clinical expertise in their primary areas of teaching responsibility.  </w:t>
      </w:r>
      <w:proofErr w:type="gramStart"/>
      <w:r w:rsidR="005F11B4">
        <w:t>Faculty maintain</w:t>
      </w:r>
      <w:proofErr w:type="gramEnd"/>
      <w:r w:rsidR="005F11B4">
        <w:t xml:space="preserve"> expertise in evidence-based teaching methodologies </w:t>
      </w:r>
      <w:r w:rsidR="00F42790">
        <w:t xml:space="preserve">and </w:t>
      </w:r>
      <w:r w:rsidR="005F11B4">
        <w:t xml:space="preserve">by </w:t>
      </w:r>
      <w:r w:rsidR="00F42790">
        <w:t xml:space="preserve">engaging in scholarly activities.  </w:t>
      </w:r>
      <w:r w:rsidR="0067749C">
        <w:t xml:space="preserve">  Faculty also demonstrates evidenced-based practices through annual presentations </w:t>
      </w:r>
      <w:r w:rsidR="000E2921">
        <w:t xml:space="preserve">of evidenced-based articles </w:t>
      </w:r>
      <w:r w:rsidR="00AD0F52">
        <w:t xml:space="preserve">in </w:t>
      </w:r>
      <w:r w:rsidR="0067749C">
        <w:t>nursing journal club</w:t>
      </w:r>
      <w:r w:rsidR="000E2921">
        <w:t>.</w:t>
      </w:r>
      <w:r w:rsidR="0067749C">
        <w:t xml:space="preserve">  </w:t>
      </w:r>
      <w:r w:rsidR="0067749C" w:rsidRPr="0067749C">
        <w:t xml:space="preserve">The school sets a benchmark of </w:t>
      </w:r>
      <w:r w:rsidR="0067749C">
        <w:t xml:space="preserve">100% attainment for nursing faculty. A chart illustrating each faculty member’s </w:t>
      </w:r>
      <w:proofErr w:type="spellStart"/>
      <w:r w:rsidR="0067749C">
        <w:t>fullfullment</w:t>
      </w:r>
      <w:proofErr w:type="spellEnd"/>
      <w:r w:rsidR="0067749C">
        <w:t xml:space="preserve"> in these areas is completed annually and reported at the Faculty Development Committee PSES. The 5 year results for 2006 to 2011 were 100%</w:t>
      </w:r>
      <w:r w:rsidR="00313FBA">
        <w:t xml:space="preserve"> </w:t>
      </w:r>
      <w:r w:rsidR="00313FBA" w:rsidRPr="00313FBA">
        <w:rPr>
          <w:color w:val="FF0000"/>
        </w:rPr>
        <w:t>(Appendix</w:t>
      </w:r>
      <w:r w:rsidR="0067749C" w:rsidRPr="00313FBA">
        <w:rPr>
          <w:color w:val="FF0000"/>
        </w:rPr>
        <w:t>.</w:t>
      </w:r>
      <w:r w:rsidR="00313FBA" w:rsidRPr="00313FBA">
        <w:rPr>
          <w:color w:val="FF0000"/>
        </w:rPr>
        <w:t xml:space="preserve"> Page __</w:t>
      </w:r>
      <w:proofErr w:type="gramStart"/>
      <w:r w:rsidR="00313FBA" w:rsidRPr="00313FBA">
        <w:rPr>
          <w:color w:val="FF0000"/>
        </w:rPr>
        <w:t>_ )</w:t>
      </w:r>
      <w:proofErr w:type="gramEnd"/>
      <w:r w:rsidR="00313FBA" w:rsidRPr="00313FBA">
        <w:rPr>
          <w:color w:val="FF0000"/>
        </w:rPr>
        <w:t xml:space="preserve"> Add</w:t>
      </w:r>
      <w:r w:rsidR="00D66A0C" w:rsidRPr="00313FBA">
        <w:rPr>
          <w:color w:val="FF0000"/>
        </w:rPr>
        <w:t xml:space="preserve"> Chart?</w:t>
      </w:r>
    </w:p>
    <w:p w:rsidR="0067749C" w:rsidRDefault="0067749C" w:rsidP="00425A8F">
      <w:pPr>
        <w:spacing w:line="480" w:lineRule="auto"/>
      </w:pPr>
      <w:r>
        <w:tab/>
        <w:t xml:space="preserve">The medical center supports the faculty scholarship opportunities by providing tuition </w:t>
      </w:r>
      <w:proofErr w:type="gramStart"/>
      <w:r>
        <w:t>reimbursement</w:t>
      </w:r>
      <w:proofErr w:type="gramEnd"/>
      <w:r>
        <w:t xml:space="preserve"> for continuing education</w:t>
      </w:r>
      <w:r w:rsidR="00D66A0C">
        <w:t>, certification,</w:t>
      </w:r>
      <w:r>
        <w:t xml:space="preserve"> and for furthering education degrees.  Three </w:t>
      </w:r>
      <w:proofErr w:type="gramStart"/>
      <w:r>
        <w:t>faculty</w:t>
      </w:r>
      <w:proofErr w:type="gramEnd"/>
      <w:r>
        <w:t xml:space="preserve"> have recently completed their MSN and </w:t>
      </w:r>
      <w:r w:rsidR="00F65BE3">
        <w:t>received supportive tuition reimbursement</w:t>
      </w:r>
      <w:r w:rsidR="00D66A0C">
        <w:rPr>
          <w:color w:val="FF0000"/>
        </w:rPr>
        <w:t>? (Amy, Fran, Michele</w:t>
      </w:r>
      <w:r w:rsidR="00786EB9">
        <w:rPr>
          <w:color w:val="FF0000"/>
        </w:rPr>
        <w:t xml:space="preserve"> is this correct?</w:t>
      </w:r>
      <w:r w:rsidR="00D66A0C">
        <w:rPr>
          <w:color w:val="FF0000"/>
        </w:rPr>
        <w:t>)</w:t>
      </w:r>
      <w:r w:rsidR="00F65BE3">
        <w:t>. A sampling of the collective talents and variety of scholarly activities is provided in the following table:</w:t>
      </w:r>
    </w:p>
    <w:p w:rsidR="00786EB9" w:rsidRDefault="00786EB9" w:rsidP="00786EB9">
      <w:r>
        <w:t>2.5 Faculty: Scholarly Activities</w:t>
      </w:r>
      <w:r w:rsidR="009D1AEC">
        <w:t xml:space="preserve"> Samples</w:t>
      </w:r>
    </w:p>
    <w:tbl>
      <w:tblPr>
        <w:tblStyle w:val="TableGrid"/>
        <w:tblW w:w="0" w:type="auto"/>
        <w:tblLook w:val="04A0"/>
      </w:tblPr>
      <w:tblGrid>
        <w:gridCol w:w="9576"/>
      </w:tblGrid>
      <w:tr w:rsidR="00F65BE3" w:rsidRPr="00E669A4" w:rsidTr="00E669A4">
        <w:tc>
          <w:tcPr>
            <w:tcW w:w="9576" w:type="dxa"/>
            <w:shd w:val="clear" w:color="auto" w:fill="F2F2F2" w:themeFill="background1" w:themeFillShade="F2"/>
          </w:tcPr>
          <w:p w:rsidR="00F65BE3" w:rsidRPr="00E669A4" w:rsidRDefault="00F65BE3" w:rsidP="00E669A4">
            <w:pPr>
              <w:jc w:val="center"/>
              <w:rPr>
                <w:rFonts w:ascii="Times New Roman" w:hAnsi="Times New Roman"/>
                <w:sz w:val="24"/>
                <w:szCs w:val="24"/>
              </w:rPr>
            </w:pPr>
            <w:r w:rsidRPr="00E669A4">
              <w:rPr>
                <w:rFonts w:ascii="Times New Roman" w:hAnsi="Times New Roman"/>
                <w:sz w:val="24"/>
                <w:szCs w:val="24"/>
              </w:rPr>
              <w:t>Certification</w:t>
            </w:r>
            <w:r w:rsidR="00786EB9">
              <w:rPr>
                <w:rFonts w:ascii="Times New Roman" w:hAnsi="Times New Roman"/>
                <w:sz w:val="24"/>
                <w:szCs w:val="24"/>
              </w:rPr>
              <w:t>s</w:t>
            </w:r>
          </w:p>
        </w:tc>
      </w:tr>
      <w:tr w:rsidR="00F65BE3" w:rsidRPr="00E669A4" w:rsidTr="00F65BE3">
        <w:tc>
          <w:tcPr>
            <w:tcW w:w="9576" w:type="dxa"/>
          </w:tcPr>
          <w:p w:rsidR="00F65BE3" w:rsidRPr="00E669A4" w:rsidRDefault="00F65BE3" w:rsidP="009D1AEC">
            <w:pPr>
              <w:rPr>
                <w:rFonts w:ascii="Times New Roman" w:hAnsi="Times New Roman"/>
                <w:sz w:val="24"/>
                <w:szCs w:val="24"/>
              </w:rPr>
            </w:pPr>
            <w:r w:rsidRPr="00E669A4">
              <w:rPr>
                <w:rFonts w:ascii="Times New Roman" w:hAnsi="Times New Roman"/>
                <w:sz w:val="24"/>
                <w:szCs w:val="24"/>
              </w:rPr>
              <w:t xml:space="preserve">Certificate of Authority, Certified Nurse Educator, </w:t>
            </w:r>
            <w:r w:rsidR="00A51516" w:rsidRPr="00E669A4">
              <w:rPr>
                <w:rFonts w:ascii="Times New Roman" w:hAnsi="Times New Roman"/>
                <w:sz w:val="24"/>
                <w:szCs w:val="24"/>
              </w:rPr>
              <w:t xml:space="preserve">Adult Clinical Nurse Specialist Board Certified, </w:t>
            </w:r>
            <w:r w:rsidR="009D1AEC">
              <w:rPr>
                <w:rFonts w:ascii="Times New Roman" w:hAnsi="Times New Roman"/>
                <w:sz w:val="24"/>
                <w:szCs w:val="24"/>
              </w:rPr>
              <w:t xml:space="preserve">Clinical Nurse Specialist, </w:t>
            </w:r>
            <w:r w:rsidR="00694145">
              <w:rPr>
                <w:rFonts w:ascii="Times New Roman" w:hAnsi="Times New Roman"/>
                <w:sz w:val="24"/>
                <w:szCs w:val="24"/>
              </w:rPr>
              <w:t>Pediatric Advanced Life Support, Advanced Cardiac Life Support, T</w:t>
            </w:r>
            <w:r w:rsidR="00477E22">
              <w:rPr>
                <w:rFonts w:ascii="Times New Roman" w:hAnsi="Times New Roman"/>
                <w:sz w:val="24"/>
                <w:szCs w:val="24"/>
              </w:rPr>
              <w:t xml:space="preserve">rauma </w:t>
            </w:r>
            <w:r w:rsidR="00694145">
              <w:rPr>
                <w:rFonts w:ascii="Times New Roman" w:hAnsi="Times New Roman"/>
                <w:sz w:val="24"/>
                <w:szCs w:val="24"/>
              </w:rPr>
              <w:t>N</w:t>
            </w:r>
            <w:r w:rsidR="00477E22">
              <w:rPr>
                <w:rFonts w:ascii="Times New Roman" w:hAnsi="Times New Roman"/>
                <w:sz w:val="24"/>
                <w:szCs w:val="24"/>
              </w:rPr>
              <w:t xml:space="preserve">urse </w:t>
            </w:r>
            <w:r w:rsidR="00694145">
              <w:rPr>
                <w:rFonts w:ascii="Times New Roman" w:hAnsi="Times New Roman"/>
                <w:sz w:val="24"/>
                <w:szCs w:val="24"/>
              </w:rPr>
              <w:t>C</w:t>
            </w:r>
            <w:r w:rsidR="00CB5BF3">
              <w:rPr>
                <w:rFonts w:ascii="Times New Roman" w:hAnsi="Times New Roman"/>
                <w:sz w:val="24"/>
                <w:szCs w:val="24"/>
              </w:rPr>
              <w:t xml:space="preserve">ore </w:t>
            </w:r>
            <w:r w:rsidR="00694145">
              <w:rPr>
                <w:rFonts w:ascii="Times New Roman" w:hAnsi="Times New Roman"/>
                <w:sz w:val="24"/>
                <w:szCs w:val="24"/>
              </w:rPr>
              <w:t>C</w:t>
            </w:r>
            <w:r w:rsidR="009D1AEC">
              <w:rPr>
                <w:rFonts w:ascii="Times New Roman" w:hAnsi="Times New Roman"/>
                <w:sz w:val="24"/>
                <w:szCs w:val="24"/>
              </w:rPr>
              <w:t>ertification</w:t>
            </w:r>
            <w:r w:rsidR="00694145">
              <w:rPr>
                <w:rFonts w:ascii="Times New Roman" w:hAnsi="Times New Roman"/>
                <w:sz w:val="24"/>
                <w:szCs w:val="24"/>
              </w:rPr>
              <w:t xml:space="preserve">, Neonatal Resuscitation, </w:t>
            </w:r>
          </w:p>
        </w:tc>
      </w:tr>
      <w:tr w:rsidR="00F65BE3" w:rsidRPr="00E669A4" w:rsidTr="00E669A4">
        <w:tc>
          <w:tcPr>
            <w:tcW w:w="9576" w:type="dxa"/>
            <w:shd w:val="clear" w:color="auto" w:fill="F2F2F2" w:themeFill="background1" w:themeFillShade="F2"/>
          </w:tcPr>
          <w:p w:rsidR="00F65BE3" w:rsidRPr="00E669A4" w:rsidRDefault="00F65BE3" w:rsidP="00CB5BF3">
            <w:pPr>
              <w:jc w:val="center"/>
              <w:rPr>
                <w:rFonts w:ascii="Times New Roman" w:hAnsi="Times New Roman"/>
                <w:sz w:val="24"/>
                <w:szCs w:val="24"/>
              </w:rPr>
            </w:pPr>
            <w:r w:rsidRPr="00E669A4">
              <w:rPr>
                <w:rFonts w:ascii="Times New Roman" w:hAnsi="Times New Roman"/>
                <w:sz w:val="24"/>
                <w:szCs w:val="24"/>
              </w:rPr>
              <w:t>Publication</w:t>
            </w:r>
            <w:r w:rsidR="00E669A4">
              <w:rPr>
                <w:rFonts w:ascii="Times New Roman" w:hAnsi="Times New Roman"/>
                <w:sz w:val="24"/>
                <w:szCs w:val="24"/>
              </w:rPr>
              <w:t>/Reviews</w:t>
            </w:r>
          </w:p>
        </w:tc>
      </w:tr>
      <w:tr w:rsidR="00F65BE3" w:rsidRPr="00E669A4" w:rsidTr="00F65BE3">
        <w:tc>
          <w:tcPr>
            <w:tcW w:w="9576" w:type="dxa"/>
          </w:tcPr>
          <w:p w:rsidR="00CD1FF2" w:rsidRPr="00B411DC" w:rsidRDefault="00E669A4" w:rsidP="00CB5BF3">
            <w:pPr>
              <w:pStyle w:val="ListParagraph"/>
              <w:numPr>
                <w:ilvl w:val="0"/>
                <w:numId w:val="10"/>
              </w:numPr>
              <w:spacing w:after="0" w:line="240" w:lineRule="auto"/>
              <w:rPr>
                <w:rFonts w:ascii="Times New Roman" w:hAnsi="Times New Roman" w:cs="Times New Roman"/>
                <w:sz w:val="24"/>
                <w:szCs w:val="24"/>
              </w:rPr>
            </w:pPr>
            <w:r w:rsidRPr="00B411DC">
              <w:rPr>
                <w:rFonts w:ascii="Times New Roman" w:hAnsi="Times New Roman" w:cs="Times New Roman"/>
                <w:sz w:val="24"/>
                <w:szCs w:val="24"/>
              </w:rPr>
              <w:t>M.</w:t>
            </w:r>
            <w:r w:rsidR="007A7F05">
              <w:rPr>
                <w:rFonts w:ascii="Times New Roman" w:hAnsi="Times New Roman" w:cs="Times New Roman"/>
                <w:sz w:val="24"/>
                <w:szCs w:val="24"/>
              </w:rPr>
              <w:t xml:space="preserve"> </w:t>
            </w:r>
            <w:proofErr w:type="spellStart"/>
            <w:r w:rsidR="00CD1FF2" w:rsidRPr="00B411DC">
              <w:rPr>
                <w:rFonts w:ascii="Times New Roman" w:hAnsi="Times New Roman" w:cs="Times New Roman"/>
                <w:sz w:val="24"/>
                <w:szCs w:val="24"/>
              </w:rPr>
              <w:t>Bussard</w:t>
            </w:r>
            <w:proofErr w:type="spellEnd"/>
            <w:r w:rsidR="00CD1FF2" w:rsidRPr="00B411DC">
              <w:rPr>
                <w:rFonts w:ascii="Times New Roman" w:hAnsi="Times New Roman" w:cs="Times New Roman"/>
                <w:b/>
                <w:sz w:val="24"/>
                <w:szCs w:val="24"/>
              </w:rPr>
              <w:t xml:space="preserve"> </w:t>
            </w:r>
            <w:r w:rsidR="00CD1FF2" w:rsidRPr="00B411DC">
              <w:rPr>
                <w:rFonts w:ascii="Times New Roman" w:hAnsi="Times New Roman" w:cs="Times New Roman"/>
                <w:sz w:val="24"/>
                <w:szCs w:val="24"/>
              </w:rPr>
              <w:t>reviewed a chapter in Pearson’s Clinical Skills book 2010</w:t>
            </w:r>
            <w:r w:rsidR="007A7F05">
              <w:rPr>
                <w:rFonts w:ascii="Times New Roman" w:hAnsi="Times New Roman" w:cs="Times New Roman"/>
                <w:sz w:val="24"/>
                <w:szCs w:val="24"/>
              </w:rPr>
              <w:t>.</w:t>
            </w:r>
          </w:p>
          <w:p w:rsidR="00AE3516" w:rsidRPr="00B411DC" w:rsidRDefault="00AE3516" w:rsidP="00CB5BF3">
            <w:pPr>
              <w:pStyle w:val="ListParagraph"/>
              <w:numPr>
                <w:ilvl w:val="0"/>
                <w:numId w:val="10"/>
              </w:numPr>
              <w:spacing w:after="0" w:line="240" w:lineRule="auto"/>
              <w:rPr>
                <w:rFonts w:ascii="Times New Roman" w:hAnsi="Times New Roman" w:cs="Times New Roman"/>
                <w:sz w:val="24"/>
                <w:szCs w:val="24"/>
              </w:rPr>
            </w:pPr>
            <w:r w:rsidRPr="00B411DC">
              <w:rPr>
                <w:rFonts w:ascii="Times New Roman" w:hAnsi="Times New Roman" w:cs="Times New Roman"/>
                <w:sz w:val="24"/>
                <w:szCs w:val="24"/>
              </w:rPr>
              <w:t xml:space="preserve">J. </w:t>
            </w:r>
            <w:proofErr w:type="spellStart"/>
            <w:r w:rsidRPr="00B411DC">
              <w:rPr>
                <w:rFonts w:ascii="Times New Roman" w:hAnsi="Times New Roman" w:cs="Times New Roman"/>
                <w:sz w:val="24"/>
                <w:szCs w:val="24"/>
              </w:rPr>
              <w:t>Stradtman</w:t>
            </w:r>
            <w:proofErr w:type="spellEnd"/>
            <w:r w:rsidRPr="00B411DC">
              <w:rPr>
                <w:rFonts w:ascii="Times New Roman" w:hAnsi="Times New Roman" w:cs="Times New Roman"/>
                <w:b/>
                <w:sz w:val="24"/>
                <w:szCs w:val="24"/>
              </w:rPr>
              <w:t xml:space="preserve"> </w:t>
            </w:r>
            <w:r w:rsidRPr="00B411DC">
              <w:rPr>
                <w:rFonts w:ascii="Times New Roman" w:hAnsi="Times New Roman" w:cs="Times New Roman"/>
                <w:sz w:val="24"/>
                <w:szCs w:val="24"/>
              </w:rPr>
              <w:t xml:space="preserve">reviewed </w:t>
            </w:r>
            <w:r w:rsidR="00E669A4" w:rsidRPr="00B411DC">
              <w:rPr>
                <w:rFonts w:ascii="Times New Roman" w:hAnsi="Times New Roman" w:cs="Times New Roman"/>
                <w:sz w:val="24"/>
                <w:szCs w:val="24"/>
              </w:rPr>
              <w:t xml:space="preserve">chapters in </w:t>
            </w:r>
            <w:r w:rsidRPr="00B411DC">
              <w:rPr>
                <w:rFonts w:ascii="Times New Roman" w:hAnsi="Times New Roman" w:cs="Times New Roman"/>
                <w:sz w:val="24"/>
                <w:szCs w:val="24"/>
              </w:rPr>
              <w:t>Elsevier’s Calculate with Confidence, 5</w:t>
            </w:r>
            <w:r w:rsidRPr="00B411DC">
              <w:rPr>
                <w:rFonts w:ascii="Times New Roman" w:hAnsi="Times New Roman" w:cs="Times New Roman"/>
                <w:sz w:val="24"/>
                <w:szCs w:val="24"/>
                <w:vertAlign w:val="superscript"/>
              </w:rPr>
              <w:t>th</w:t>
            </w:r>
            <w:r w:rsidRPr="00B411DC">
              <w:rPr>
                <w:rFonts w:ascii="Times New Roman" w:hAnsi="Times New Roman" w:cs="Times New Roman"/>
                <w:sz w:val="24"/>
                <w:szCs w:val="24"/>
              </w:rPr>
              <w:t xml:space="preserve"> </w:t>
            </w:r>
            <w:r w:rsidR="007A7F05">
              <w:rPr>
                <w:rFonts w:ascii="Times New Roman" w:hAnsi="Times New Roman" w:cs="Times New Roman"/>
                <w:sz w:val="24"/>
                <w:szCs w:val="24"/>
              </w:rPr>
              <w:t>e</w:t>
            </w:r>
            <w:r w:rsidRPr="00B411DC">
              <w:rPr>
                <w:rFonts w:ascii="Times New Roman" w:hAnsi="Times New Roman" w:cs="Times New Roman"/>
                <w:sz w:val="24"/>
                <w:szCs w:val="24"/>
              </w:rPr>
              <w:t>dition.</w:t>
            </w:r>
          </w:p>
          <w:p w:rsidR="00DF50F6" w:rsidRPr="00E669A4" w:rsidRDefault="00E669A4" w:rsidP="00CB5BF3">
            <w:pPr>
              <w:pStyle w:val="ListParagraph"/>
              <w:numPr>
                <w:ilvl w:val="0"/>
                <w:numId w:val="10"/>
              </w:numPr>
              <w:spacing w:after="0" w:line="240" w:lineRule="auto"/>
              <w:rPr>
                <w:rFonts w:ascii="Times New Roman" w:hAnsi="Times New Roman" w:cs="Times New Roman"/>
                <w:sz w:val="24"/>
                <w:szCs w:val="24"/>
              </w:rPr>
            </w:pPr>
            <w:r w:rsidRPr="00B411DC">
              <w:rPr>
                <w:rFonts w:ascii="Times New Roman" w:hAnsi="Times New Roman" w:cs="Times New Roman"/>
                <w:sz w:val="24"/>
                <w:szCs w:val="24"/>
              </w:rPr>
              <w:t xml:space="preserve">J. </w:t>
            </w:r>
            <w:proofErr w:type="spellStart"/>
            <w:r w:rsidRPr="00B411DC">
              <w:rPr>
                <w:rFonts w:ascii="Times New Roman" w:hAnsi="Times New Roman" w:cs="Times New Roman"/>
                <w:sz w:val="24"/>
                <w:szCs w:val="24"/>
              </w:rPr>
              <w:t>Reising</w:t>
            </w:r>
            <w:proofErr w:type="spellEnd"/>
            <w:r w:rsidRPr="00B411DC">
              <w:rPr>
                <w:rFonts w:ascii="Times New Roman" w:hAnsi="Times New Roman" w:cs="Times New Roman"/>
                <w:sz w:val="24"/>
                <w:szCs w:val="24"/>
              </w:rPr>
              <w:t xml:space="preserve"> reviewed chapters in </w:t>
            </w:r>
            <w:r w:rsidR="00DF50F6" w:rsidRPr="00B411DC">
              <w:rPr>
                <w:rFonts w:ascii="Times New Roman" w:hAnsi="Times New Roman" w:cs="Times New Roman"/>
                <w:sz w:val="24"/>
                <w:szCs w:val="24"/>
              </w:rPr>
              <w:t xml:space="preserve">Bates’ Nursing Guide to Physical Examination and History </w:t>
            </w:r>
            <w:r w:rsidRPr="00B411DC">
              <w:rPr>
                <w:rFonts w:ascii="Times New Roman" w:hAnsi="Times New Roman" w:cs="Times New Roman"/>
                <w:sz w:val="24"/>
                <w:szCs w:val="24"/>
              </w:rPr>
              <w:t xml:space="preserve">and </w:t>
            </w:r>
            <w:r w:rsidR="00B411DC">
              <w:rPr>
                <w:rFonts w:ascii="Times New Roman" w:hAnsi="Times New Roman" w:cs="Times New Roman"/>
                <w:sz w:val="24"/>
                <w:szCs w:val="24"/>
              </w:rPr>
              <w:t xml:space="preserve">A. </w:t>
            </w:r>
            <w:proofErr w:type="spellStart"/>
            <w:r w:rsidR="00DF50F6" w:rsidRPr="00E669A4">
              <w:rPr>
                <w:rFonts w:ascii="Times New Roman" w:hAnsi="Times New Roman" w:cs="Times New Roman"/>
                <w:sz w:val="24"/>
                <w:szCs w:val="24"/>
              </w:rPr>
              <w:t>Karch</w:t>
            </w:r>
            <w:proofErr w:type="spellEnd"/>
            <w:r w:rsidR="00DF50F6" w:rsidRPr="00E669A4">
              <w:rPr>
                <w:rFonts w:ascii="Times New Roman" w:hAnsi="Times New Roman" w:cs="Times New Roman"/>
                <w:sz w:val="24"/>
                <w:szCs w:val="24"/>
              </w:rPr>
              <w:t xml:space="preserve"> (2013) </w:t>
            </w:r>
            <w:proofErr w:type="gramStart"/>
            <w:r w:rsidR="00DF50F6" w:rsidRPr="00E669A4">
              <w:rPr>
                <w:rFonts w:ascii="Times New Roman" w:hAnsi="Times New Roman" w:cs="Times New Roman"/>
                <w:sz w:val="24"/>
                <w:szCs w:val="24"/>
              </w:rPr>
              <w:t>Focus</w:t>
            </w:r>
            <w:proofErr w:type="gramEnd"/>
            <w:r w:rsidR="00DF50F6" w:rsidRPr="00E669A4">
              <w:rPr>
                <w:rFonts w:ascii="Times New Roman" w:hAnsi="Times New Roman" w:cs="Times New Roman"/>
                <w:sz w:val="24"/>
                <w:szCs w:val="24"/>
              </w:rPr>
              <w:t xml:space="preserve"> on Nursing Pharmacology, 6</w:t>
            </w:r>
            <w:r w:rsidR="00DF50F6" w:rsidRPr="00E669A4">
              <w:rPr>
                <w:rFonts w:ascii="Times New Roman" w:hAnsi="Times New Roman" w:cs="Times New Roman"/>
                <w:sz w:val="24"/>
                <w:szCs w:val="24"/>
                <w:vertAlign w:val="superscript"/>
              </w:rPr>
              <w:t>th</w:t>
            </w:r>
            <w:r w:rsidR="007A7F05">
              <w:rPr>
                <w:rFonts w:ascii="Times New Roman" w:hAnsi="Times New Roman" w:cs="Times New Roman"/>
                <w:sz w:val="24"/>
                <w:szCs w:val="24"/>
              </w:rPr>
              <w:t xml:space="preserve"> edition.</w:t>
            </w:r>
          </w:p>
        </w:tc>
      </w:tr>
      <w:tr w:rsidR="00F65BE3" w:rsidRPr="00E669A4" w:rsidTr="00E669A4">
        <w:tc>
          <w:tcPr>
            <w:tcW w:w="9576" w:type="dxa"/>
            <w:shd w:val="clear" w:color="auto" w:fill="F2F2F2" w:themeFill="background1" w:themeFillShade="F2"/>
          </w:tcPr>
          <w:p w:rsidR="00F65BE3" w:rsidRPr="00E669A4" w:rsidRDefault="00F65BE3" w:rsidP="00CB5BF3">
            <w:pPr>
              <w:jc w:val="center"/>
              <w:rPr>
                <w:rFonts w:ascii="Times New Roman" w:hAnsi="Times New Roman"/>
                <w:sz w:val="24"/>
                <w:szCs w:val="24"/>
              </w:rPr>
            </w:pPr>
            <w:r w:rsidRPr="00E669A4">
              <w:rPr>
                <w:rFonts w:ascii="Times New Roman" w:hAnsi="Times New Roman"/>
                <w:sz w:val="24"/>
                <w:szCs w:val="24"/>
              </w:rPr>
              <w:t>Presentations</w:t>
            </w:r>
          </w:p>
        </w:tc>
      </w:tr>
      <w:tr w:rsidR="00F65BE3" w:rsidRPr="00E669A4" w:rsidTr="00F65BE3">
        <w:tc>
          <w:tcPr>
            <w:tcW w:w="9576" w:type="dxa"/>
          </w:tcPr>
          <w:p w:rsidR="00DA0436" w:rsidRPr="00CA321C" w:rsidRDefault="00AE3516" w:rsidP="00CB5BF3">
            <w:pPr>
              <w:numPr>
                <w:ilvl w:val="0"/>
                <w:numId w:val="6"/>
              </w:numPr>
              <w:rPr>
                <w:rFonts w:ascii="Times New Roman" w:hAnsi="Times New Roman"/>
                <w:i/>
                <w:sz w:val="24"/>
                <w:szCs w:val="24"/>
              </w:rPr>
            </w:pPr>
            <w:r w:rsidRPr="00355AB5">
              <w:rPr>
                <w:rFonts w:ascii="Times New Roman" w:hAnsi="Times New Roman"/>
                <w:sz w:val="24"/>
                <w:szCs w:val="24"/>
              </w:rPr>
              <w:t xml:space="preserve">D. </w:t>
            </w:r>
            <w:proofErr w:type="spellStart"/>
            <w:r w:rsidRPr="00355AB5">
              <w:rPr>
                <w:rFonts w:ascii="Times New Roman" w:hAnsi="Times New Roman"/>
                <w:sz w:val="24"/>
                <w:szCs w:val="24"/>
              </w:rPr>
              <w:t>Wikel</w:t>
            </w:r>
            <w:proofErr w:type="spellEnd"/>
            <w:r w:rsidRPr="00355AB5">
              <w:rPr>
                <w:rFonts w:ascii="Times New Roman" w:hAnsi="Times New Roman"/>
                <w:sz w:val="24"/>
                <w:szCs w:val="24"/>
              </w:rPr>
              <w:t xml:space="preserve"> presented 2012, </w:t>
            </w:r>
            <w:proofErr w:type="spellStart"/>
            <w:r w:rsidRPr="00355AB5">
              <w:rPr>
                <w:rFonts w:ascii="Times New Roman" w:hAnsi="Times New Roman"/>
                <w:i/>
                <w:sz w:val="24"/>
                <w:szCs w:val="24"/>
              </w:rPr>
              <w:t>Neutropenic</w:t>
            </w:r>
            <w:proofErr w:type="spellEnd"/>
            <w:r w:rsidRPr="00355AB5">
              <w:rPr>
                <w:rFonts w:ascii="Times New Roman" w:hAnsi="Times New Roman"/>
                <w:i/>
                <w:sz w:val="24"/>
                <w:szCs w:val="24"/>
              </w:rPr>
              <w:t xml:space="preserve"> Precautions: Myth or Evidence-Based?</w:t>
            </w:r>
            <w:r w:rsidR="00E669A4" w:rsidRPr="00355AB5">
              <w:rPr>
                <w:rFonts w:ascii="Times New Roman" w:hAnsi="Times New Roman"/>
                <w:i/>
                <w:sz w:val="24"/>
                <w:szCs w:val="24"/>
              </w:rPr>
              <w:t xml:space="preserve"> </w:t>
            </w:r>
            <w:r w:rsidR="00E669A4" w:rsidRPr="00355AB5">
              <w:rPr>
                <w:rFonts w:ascii="Times New Roman" w:hAnsi="Times New Roman"/>
                <w:sz w:val="24"/>
                <w:szCs w:val="24"/>
              </w:rPr>
              <w:t>at FRMC</w:t>
            </w:r>
          </w:p>
          <w:p w:rsidR="00CA321C" w:rsidRDefault="00CA321C" w:rsidP="00CA321C">
            <w:pPr>
              <w:pStyle w:val="ListParagraph"/>
              <w:numPr>
                <w:ilvl w:val="0"/>
                <w:numId w:val="6"/>
              </w:numPr>
              <w:tabs>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Bussard</w:t>
            </w:r>
            <w:proofErr w:type="spellEnd"/>
            <w:r>
              <w:rPr>
                <w:rFonts w:ascii="Times New Roman" w:hAnsi="Times New Roman" w:cs="Times New Roman"/>
                <w:sz w:val="24"/>
                <w:szCs w:val="24"/>
              </w:rPr>
              <w:t xml:space="preserve">, </w:t>
            </w:r>
            <w:r w:rsidRPr="00753DD8">
              <w:rPr>
                <w:rFonts w:ascii="Times New Roman" w:hAnsi="Times New Roman" w:cs="Times New Roman"/>
                <w:color w:val="FF0000"/>
                <w:sz w:val="24"/>
                <w:szCs w:val="24"/>
              </w:rPr>
              <w:t>Simulation</w:t>
            </w:r>
            <w:r>
              <w:rPr>
                <w:rFonts w:ascii="Times New Roman" w:hAnsi="Times New Roman" w:cs="Times New Roman"/>
                <w:sz w:val="24"/>
                <w:szCs w:val="24"/>
              </w:rPr>
              <w:t>…2012, FRMCSN</w:t>
            </w:r>
          </w:p>
          <w:p w:rsidR="00CA321C" w:rsidRDefault="00CA321C" w:rsidP="00CA321C">
            <w:pPr>
              <w:pStyle w:val="ListParagraph"/>
              <w:numPr>
                <w:ilvl w:val="0"/>
                <w:numId w:val="6"/>
              </w:numPr>
              <w:tabs>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 Price and J. </w:t>
            </w:r>
            <w:proofErr w:type="spellStart"/>
            <w:r>
              <w:rPr>
                <w:rFonts w:ascii="Times New Roman" w:hAnsi="Times New Roman" w:cs="Times New Roman"/>
                <w:sz w:val="24"/>
                <w:szCs w:val="24"/>
              </w:rPr>
              <w:t>Reising</w:t>
            </w:r>
            <w:proofErr w:type="spellEnd"/>
            <w:r>
              <w:rPr>
                <w:rFonts w:ascii="Times New Roman" w:hAnsi="Times New Roman" w:cs="Times New Roman"/>
                <w:sz w:val="24"/>
                <w:szCs w:val="24"/>
              </w:rPr>
              <w:t xml:space="preserve"> presented </w:t>
            </w:r>
            <w:r w:rsidRPr="00CA321C">
              <w:rPr>
                <w:rFonts w:ascii="Times New Roman" w:hAnsi="Times New Roman" w:cs="Times New Roman"/>
                <w:i/>
                <w:sz w:val="24"/>
                <w:szCs w:val="24"/>
              </w:rPr>
              <w:t>Learning Theories</w:t>
            </w:r>
            <w:r>
              <w:rPr>
                <w:rFonts w:ascii="Times New Roman" w:hAnsi="Times New Roman" w:cs="Times New Roman"/>
                <w:sz w:val="24"/>
                <w:szCs w:val="24"/>
              </w:rPr>
              <w:t>, 2012, FRMCSN</w:t>
            </w:r>
          </w:p>
          <w:p w:rsidR="00CA321C" w:rsidRPr="00CA321C" w:rsidRDefault="00C74E06" w:rsidP="00CA321C">
            <w:pPr>
              <w:pStyle w:val="ListParagraph"/>
              <w:numPr>
                <w:ilvl w:val="0"/>
                <w:numId w:val="6"/>
              </w:numPr>
              <w:tabs>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 Bower, B. </w:t>
            </w:r>
            <w:proofErr w:type="spellStart"/>
            <w:r>
              <w:rPr>
                <w:rFonts w:ascii="Times New Roman" w:hAnsi="Times New Roman" w:cs="Times New Roman"/>
                <w:sz w:val="24"/>
                <w:szCs w:val="24"/>
              </w:rPr>
              <w:t>Brunow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J.Reising</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Dagg</w:t>
            </w:r>
            <w:proofErr w:type="spellEnd"/>
            <w:r>
              <w:rPr>
                <w:rFonts w:ascii="Times New Roman" w:hAnsi="Times New Roman" w:cs="Times New Roman"/>
                <w:sz w:val="24"/>
                <w:szCs w:val="24"/>
              </w:rPr>
              <w:t xml:space="preserve"> &amp; D. </w:t>
            </w:r>
            <w:proofErr w:type="spellStart"/>
            <w:r>
              <w:rPr>
                <w:rFonts w:ascii="Times New Roman" w:hAnsi="Times New Roman" w:cs="Times New Roman"/>
                <w:sz w:val="24"/>
                <w:szCs w:val="24"/>
              </w:rPr>
              <w:t>Kehres</w:t>
            </w:r>
            <w:proofErr w:type="spellEnd"/>
            <w:r>
              <w:rPr>
                <w:rFonts w:ascii="Times New Roman" w:hAnsi="Times New Roman" w:cs="Times New Roman"/>
                <w:sz w:val="24"/>
                <w:szCs w:val="24"/>
              </w:rPr>
              <w:t xml:space="preserve">, </w:t>
            </w:r>
            <w:r w:rsidR="00CA321C">
              <w:rPr>
                <w:rFonts w:ascii="Times New Roman" w:hAnsi="Times New Roman" w:cs="Times New Roman"/>
                <w:i/>
                <w:sz w:val="24"/>
                <w:szCs w:val="24"/>
              </w:rPr>
              <w:t xml:space="preserve">Using Clinical Judgment for Evaluating Blood Pressure “Ups and </w:t>
            </w:r>
            <w:proofErr w:type="spellStart"/>
            <w:r w:rsidR="00CA321C">
              <w:rPr>
                <w:rFonts w:ascii="Times New Roman" w:hAnsi="Times New Roman" w:cs="Times New Roman"/>
                <w:i/>
                <w:sz w:val="24"/>
                <w:szCs w:val="24"/>
              </w:rPr>
              <w:t>Downs”</w:t>
            </w:r>
            <w:r>
              <w:rPr>
                <w:rFonts w:ascii="Times New Roman" w:hAnsi="Times New Roman" w:cs="Times New Roman"/>
                <w:sz w:val="24"/>
                <w:szCs w:val="24"/>
              </w:rPr>
              <w:t>FRMC</w:t>
            </w:r>
            <w:proofErr w:type="spellEnd"/>
            <w:r>
              <w:rPr>
                <w:rFonts w:ascii="Times New Roman" w:hAnsi="Times New Roman" w:cs="Times New Roman"/>
                <w:sz w:val="24"/>
                <w:szCs w:val="24"/>
              </w:rPr>
              <w:t xml:space="preserve"> 2012.</w:t>
            </w:r>
          </w:p>
          <w:p w:rsidR="00F65BE3" w:rsidRPr="00355AB5" w:rsidRDefault="00355AB5" w:rsidP="00CB5BF3">
            <w:pPr>
              <w:pStyle w:val="ListParagraph"/>
              <w:numPr>
                <w:ilvl w:val="0"/>
                <w:numId w:val="6"/>
              </w:numPr>
              <w:tabs>
                <w:tab w:val="left" w:pos="720"/>
                <w:tab w:val="left" w:pos="2160"/>
              </w:tabs>
              <w:spacing w:after="0" w:line="240" w:lineRule="auto"/>
              <w:rPr>
                <w:rFonts w:ascii="Times New Roman" w:hAnsi="Times New Roman" w:cs="Times New Roman"/>
                <w:sz w:val="24"/>
                <w:szCs w:val="24"/>
              </w:rPr>
            </w:pPr>
            <w:r w:rsidRPr="00355AB5">
              <w:rPr>
                <w:rFonts w:ascii="Times New Roman" w:hAnsi="Times New Roman" w:cs="Times New Roman"/>
                <w:sz w:val="24"/>
                <w:szCs w:val="24"/>
              </w:rPr>
              <w:lastRenderedPageBreak/>
              <w:t xml:space="preserve">B. </w:t>
            </w:r>
            <w:proofErr w:type="spellStart"/>
            <w:r w:rsidRPr="00355AB5">
              <w:rPr>
                <w:rFonts w:ascii="Times New Roman" w:hAnsi="Times New Roman" w:cs="Times New Roman"/>
                <w:sz w:val="24"/>
                <w:szCs w:val="24"/>
              </w:rPr>
              <w:t>Brunow</w:t>
            </w:r>
            <w:proofErr w:type="spellEnd"/>
            <w:r w:rsidRPr="00355AB5">
              <w:rPr>
                <w:rFonts w:ascii="Times New Roman" w:hAnsi="Times New Roman" w:cs="Times New Roman"/>
                <w:sz w:val="24"/>
                <w:szCs w:val="24"/>
              </w:rPr>
              <w:t xml:space="preserve">, Nursing Grand Rounds at </w:t>
            </w:r>
            <w:r>
              <w:rPr>
                <w:rFonts w:ascii="Times New Roman" w:hAnsi="Times New Roman" w:cs="Times New Roman"/>
                <w:sz w:val="24"/>
                <w:szCs w:val="24"/>
              </w:rPr>
              <w:t>F</w:t>
            </w:r>
            <w:r w:rsidRPr="00355AB5">
              <w:rPr>
                <w:rFonts w:ascii="Times New Roman" w:hAnsi="Times New Roman" w:cs="Times New Roman"/>
                <w:sz w:val="24"/>
                <w:szCs w:val="24"/>
              </w:rPr>
              <w:t xml:space="preserve">RMC, </w:t>
            </w:r>
            <w:r w:rsidRPr="00355AB5">
              <w:rPr>
                <w:rFonts w:ascii="Times New Roman" w:hAnsi="Times New Roman" w:cs="Times New Roman"/>
                <w:color w:val="FF0000"/>
                <w:sz w:val="24"/>
                <w:szCs w:val="24"/>
              </w:rPr>
              <w:t>“Social Media  “</w:t>
            </w:r>
            <w:r>
              <w:rPr>
                <w:rFonts w:ascii="Times New Roman" w:hAnsi="Times New Roman" w:cs="Times New Roman"/>
                <w:color w:val="FF0000"/>
                <w:sz w:val="24"/>
                <w:szCs w:val="24"/>
              </w:rPr>
              <w:t xml:space="preserve"> 2012</w:t>
            </w:r>
          </w:p>
          <w:p w:rsidR="00355AB5" w:rsidRPr="00285098" w:rsidRDefault="00355AB5" w:rsidP="00285098">
            <w:pPr>
              <w:pStyle w:val="ListParagraph"/>
              <w:numPr>
                <w:ilvl w:val="0"/>
                <w:numId w:val="6"/>
              </w:numPr>
              <w:tabs>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 Price, Nursing Grand Round, </w:t>
            </w:r>
            <w:r>
              <w:rPr>
                <w:rFonts w:ascii="Times New Roman" w:hAnsi="Times New Roman" w:cs="Times New Roman"/>
                <w:color w:val="FF0000"/>
                <w:sz w:val="24"/>
                <w:szCs w:val="24"/>
              </w:rPr>
              <w:t>Geriatric…2012</w:t>
            </w:r>
          </w:p>
          <w:p w:rsidR="00CA321C" w:rsidRPr="00355AB5" w:rsidRDefault="00CA321C" w:rsidP="00CA321C">
            <w:pPr>
              <w:numPr>
                <w:ilvl w:val="0"/>
                <w:numId w:val="7"/>
              </w:numPr>
              <w:tabs>
                <w:tab w:val="left" w:pos="720"/>
                <w:tab w:val="left" w:pos="2160"/>
              </w:tabs>
              <w:rPr>
                <w:rFonts w:ascii="Times New Roman" w:hAnsi="Times New Roman"/>
                <w:sz w:val="24"/>
                <w:szCs w:val="24"/>
              </w:rPr>
            </w:pPr>
            <w:r w:rsidRPr="00355AB5">
              <w:rPr>
                <w:rFonts w:ascii="Times New Roman" w:hAnsi="Times New Roman"/>
                <w:sz w:val="24"/>
                <w:szCs w:val="24"/>
              </w:rPr>
              <w:t xml:space="preserve">H. Price presented, </w:t>
            </w:r>
            <w:r w:rsidRPr="00355AB5">
              <w:rPr>
                <w:rFonts w:ascii="Times New Roman" w:hAnsi="Times New Roman"/>
                <w:i/>
                <w:sz w:val="24"/>
                <w:szCs w:val="24"/>
              </w:rPr>
              <w:t xml:space="preserve">Transition of the New Graduate, </w:t>
            </w:r>
            <w:r w:rsidRPr="00355AB5">
              <w:rPr>
                <w:rFonts w:ascii="Times New Roman" w:hAnsi="Times New Roman"/>
                <w:sz w:val="24"/>
                <w:szCs w:val="24"/>
              </w:rPr>
              <w:t>at the OLN Summit 2011.</w:t>
            </w:r>
          </w:p>
          <w:p w:rsidR="00CA321C" w:rsidRPr="00355AB5" w:rsidRDefault="00CA321C" w:rsidP="00CA321C">
            <w:pPr>
              <w:numPr>
                <w:ilvl w:val="0"/>
                <w:numId w:val="7"/>
              </w:numPr>
              <w:tabs>
                <w:tab w:val="left" w:pos="720"/>
                <w:tab w:val="left" w:pos="2160"/>
              </w:tabs>
              <w:rPr>
                <w:rFonts w:ascii="Times New Roman" w:hAnsi="Times New Roman"/>
                <w:i/>
                <w:sz w:val="24"/>
                <w:szCs w:val="24"/>
              </w:rPr>
            </w:pPr>
            <w:r w:rsidRPr="00355AB5">
              <w:rPr>
                <w:rFonts w:ascii="Times New Roman" w:hAnsi="Times New Roman"/>
                <w:sz w:val="24"/>
                <w:szCs w:val="24"/>
              </w:rPr>
              <w:t xml:space="preserve">H. Price presented NLN NEWDAC’s special session on </w:t>
            </w:r>
            <w:r w:rsidRPr="00355AB5">
              <w:rPr>
                <w:rFonts w:ascii="Times New Roman" w:hAnsi="Times New Roman"/>
                <w:i/>
                <w:sz w:val="24"/>
                <w:szCs w:val="24"/>
              </w:rPr>
              <w:t>Proposed Ethical Principles for Nurse Educators</w:t>
            </w:r>
            <w:r w:rsidRPr="00355AB5">
              <w:rPr>
                <w:rFonts w:ascii="Times New Roman" w:hAnsi="Times New Roman"/>
                <w:sz w:val="24"/>
                <w:szCs w:val="24"/>
              </w:rPr>
              <w:t>. NLN Summit 2011.</w:t>
            </w:r>
          </w:p>
          <w:p w:rsidR="00CA321C" w:rsidRPr="00355AB5" w:rsidRDefault="00CA321C" w:rsidP="00CA321C">
            <w:pPr>
              <w:numPr>
                <w:ilvl w:val="0"/>
                <w:numId w:val="6"/>
              </w:numPr>
              <w:tabs>
                <w:tab w:val="left" w:pos="720"/>
                <w:tab w:val="left" w:pos="2160"/>
              </w:tabs>
              <w:rPr>
                <w:rFonts w:ascii="Times New Roman" w:hAnsi="Times New Roman"/>
                <w:i/>
                <w:sz w:val="24"/>
                <w:szCs w:val="24"/>
              </w:rPr>
            </w:pPr>
            <w:r w:rsidRPr="00355AB5">
              <w:rPr>
                <w:rFonts w:ascii="Times New Roman" w:hAnsi="Times New Roman"/>
                <w:sz w:val="24"/>
                <w:szCs w:val="24"/>
              </w:rPr>
              <w:t xml:space="preserve">B. </w:t>
            </w:r>
            <w:proofErr w:type="spellStart"/>
            <w:r w:rsidRPr="00355AB5">
              <w:rPr>
                <w:rFonts w:ascii="Times New Roman" w:hAnsi="Times New Roman"/>
                <w:sz w:val="24"/>
                <w:szCs w:val="24"/>
              </w:rPr>
              <w:t>Brunow</w:t>
            </w:r>
            <w:proofErr w:type="spellEnd"/>
            <w:r w:rsidRPr="00355AB5">
              <w:rPr>
                <w:rFonts w:ascii="Times New Roman" w:hAnsi="Times New Roman"/>
                <w:sz w:val="24"/>
                <w:szCs w:val="24"/>
              </w:rPr>
              <w:t xml:space="preserve"> and J. </w:t>
            </w:r>
            <w:proofErr w:type="spellStart"/>
            <w:r w:rsidRPr="00355AB5">
              <w:rPr>
                <w:rFonts w:ascii="Times New Roman" w:hAnsi="Times New Roman"/>
                <w:sz w:val="24"/>
                <w:szCs w:val="24"/>
              </w:rPr>
              <w:t>Reising</w:t>
            </w:r>
            <w:proofErr w:type="spellEnd"/>
            <w:r w:rsidRPr="00355AB5">
              <w:rPr>
                <w:rFonts w:ascii="Times New Roman" w:hAnsi="Times New Roman"/>
                <w:sz w:val="24"/>
                <w:szCs w:val="24"/>
              </w:rPr>
              <w:t xml:space="preserve"> </w:t>
            </w:r>
            <w:proofErr w:type="gramStart"/>
            <w:r w:rsidRPr="00355AB5">
              <w:rPr>
                <w:rFonts w:ascii="Times New Roman" w:hAnsi="Times New Roman"/>
                <w:sz w:val="24"/>
                <w:szCs w:val="24"/>
              </w:rPr>
              <w:t>presented</w:t>
            </w:r>
            <w:r w:rsidRPr="00355AB5">
              <w:rPr>
                <w:rFonts w:ascii="Times New Roman" w:hAnsi="Times New Roman"/>
                <w:i/>
                <w:sz w:val="24"/>
                <w:szCs w:val="24"/>
              </w:rPr>
              <w:t>, The P’s and Q’s</w:t>
            </w:r>
            <w:proofErr w:type="gramEnd"/>
            <w:r w:rsidRPr="00355AB5">
              <w:rPr>
                <w:rFonts w:ascii="Times New Roman" w:hAnsi="Times New Roman"/>
                <w:i/>
                <w:sz w:val="24"/>
                <w:szCs w:val="24"/>
              </w:rPr>
              <w:t xml:space="preserve"> of QSEN,</w:t>
            </w:r>
            <w:r w:rsidRPr="00355AB5">
              <w:rPr>
                <w:rFonts w:ascii="Times New Roman" w:hAnsi="Times New Roman"/>
                <w:sz w:val="24"/>
                <w:szCs w:val="24"/>
              </w:rPr>
              <w:t xml:space="preserve"> at FRMCSN 2011.</w:t>
            </w:r>
          </w:p>
          <w:p w:rsidR="00CA321C" w:rsidRPr="00355AB5" w:rsidRDefault="00CA321C" w:rsidP="00285098">
            <w:pPr>
              <w:numPr>
                <w:ilvl w:val="0"/>
                <w:numId w:val="6"/>
              </w:numPr>
              <w:tabs>
                <w:tab w:val="left" w:pos="720"/>
                <w:tab w:val="left" w:pos="2160"/>
              </w:tabs>
              <w:rPr>
                <w:rFonts w:ascii="Times New Roman" w:hAnsi="Times New Roman"/>
                <w:sz w:val="24"/>
                <w:szCs w:val="24"/>
              </w:rPr>
            </w:pPr>
            <w:r w:rsidRPr="00355AB5">
              <w:rPr>
                <w:rFonts w:ascii="Times New Roman" w:hAnsi="Times New Roman"/>
                <w:sz w:val="24"/>
                <w:szCs w:val="24"/>
              </w:rPr>
              <w:t xml:space="preserve">J. </w:t>
            </w:r>
            <w:proofErr w:type="spellStart"/>
            <w:r w:rsidRPr="00355AB5">
              <w:rPr>
                <w:rFonts w:ascii="Times New Roman" w:hAnsi="Times New Roman"/>
                <w:sz w:val="24"/>
                <w:szCs w:val="24"/>
              </w:rPr>
              <w:t>Stradtman</w:t>
            </w:r>
            <w:proofErr w:type="spellEnd"/>
            <w:r w:rsidRPr="00355AB5">
              <w:rPr>
                <w:rFonts w:ascii="Times New Roman" w:hAnsi="Times New Roman"/>
                <w:sz w:val="24"/>
                <w:szCs w:val="24"/>
              </w:rPr>
              <w:t xml:space="preserve"> and T. Bower presented </w:t>
            </w:r>
            <w:r w:rsidRPr="00355AB5">
              <w:rPr>
                <w:rFonts w:ascii="Times New Roman" w:hAnsi="Times New Roman"/>
                <w:i/>
                <w:sz w:val="24"/>
                <w:szCs w:val="24"/>
              </w:rPr>
              <w:t xml:space="preserve">Getting Started and Getting Around in the Learning Management System. </w:t>
            </w:r>
            <w:r w:rsidRPr="00355AB5">
              <w:rPr>
                <w:rFonts w:ascii="Times New Roman" w:hAnsi="Times New Roman"/>
                <w:sz w:val="24"/>
                <w:szCs w:val="24"/>
              </w:rPr>
              <w:t>2011 at FRMCSN.</w:t>
            </w:r>
          </w:p>
        </w:tc>
      </w:tr>
      <w:tr w:rsidR="00F65BE3" w:rsidRPr="00E669A4" w:rsidTr="00E669A4">
        <w:tc>
          <w:tcPr>
            <w:tcW w:w="9576" w:type="dxa"/>
            <w:shd w:val="clear" w:color="auto" w:fill="F2F2F2" w:themeFill="background1" w:themeFillShade="F2"/>
          </w:tcPr>
          <w:p w:rsidR="00F65BE3" w:rsidRPr="00E669A4" w:rsidRDefault="00F65BE3" w:rsidP="00CB5BF3">
            <w:pPr>
              <w:jc w:val="center"/>
              <w:rPr>
                <w:rFonts w:ascii="Times New Roman" w:hAnsi="Times New Roman"/>
                <w:sz w:val="24"/>
                <w:szCs w:val="24"/>
              </w:rPr>
            </w:pPr>
            <w:r w:rsidRPr="00E669A4">
              <w:rPr>
                <w:rFonts w:ascii="Times New Roman" w:hAnsi="Times New Roman"/>
                <w:sz w:val="24"/>
                <w:szCs w:val="24"/>
              </w:rPr>
              <w:lastRenderedPageBreak/>
              <w:t>Posters</w:t>
            </w:r>
          </w:p>
        </w:tc>
      </w:tr>
      <w:tr w:rsidR="00F65BE3" w:rsidRPr="00E669A4" w:rsidTr="00F65BE3">
        <w:tc>
          <w:tcPr>
            <w:tcW w:w="9576" w:type="dxa"/>
          </w:tcPr>
          <w:p w:rsidR="00B72480" w:rsidRPr="00E669A4" w:rsidRDefault="00B72480" w:rsidP="00CB5BF3">
            <w:pPr>
              <w:numPr>
                <w:ilvl w:val="0"/>
                <w:numId w:val="6"/>
              </w:numPr>
              <w:tabs>
                <w:tab w:val="left" w:pos="720"/>
                <w:tab w:val="left" w:pos="2160"/>
              </w:tabs>
              <w:rPr>
                <w:rFonts w:ascii="Times New Roman" w:hAnsi="Times New Roman"/>
                <w:sz w:val="24"/>
                <w:szCs w:val="24"/>
              </w:rPr>
            </w:pPr>
            <w:r w:rsidRPr="00E669A4">
              <w:rPr>
                <w:rFonts w:ascii="Times New Roman" w:hAnsi="Times New Roman"/>
                <w:sz w:val="24"/>
                <w:szCs w:val="24"/>
              </w:rPr>
              <w:t xml:space="preserve">M. </w:t>
            </w:r>
            <w:proofErr w:type="spellStart"/>
            <w:r w:rsidRPr="00E669A4">
              <w:rPr>
                <w:rFonts w:ascii="Times New Roman" w:hAnsi="Times New Roman"/>
                <w:sz w:val="24"/>
                <w:szCs w:val="24"/>
              </w:rPr>
              <w:t>Bussard</w:t>
            </w:r>
            <w:proofErr w:type="spellEnd"/>
            <w:r w:rsidRPr="00E669A4">
              <w:rPr>
                <w:rFonts w:ascii="Times New Roman" w:hAnsi="Times New Roman"/>
                <w:sz w:val="24"/>
                <w:szCs w:val="24"/>
              </w:rPr>
              <w:t xml:space="preserve"> &amp; B. </w:t>
            </w:r>
            <w:proofErr w:type="spellStart"/>
            <w:r w:rsidRPr="00E669A4">
              <w:rPr>
                <w:rFonts w:ascii="Times New Roman" w:hAnsi="Times New Roman"/>
                <w:sz w:val="24"/>
                <w:szCs w:val="24"/>
              </w:rPr>
              <w:t>Brunow</w:t>
            </w:r>
            <w:proofErr w:type="spellEnd"/>
            <w:r w:rsidRPr="00E669A4">
              <w:rPr>
                <w:rFonts w:ascii="Times New Roman" w:hAnsi="Times New Roman"/>
                <w:sz w:val="24"/>
                <w:szCs w:val="24"/>
              </w:rPr>
              <w:t xml:space="preserve"> presented, </w:t>
            </w:r>
            <w:r w:rsidRPr="00E669A4">
              <w:rPr>
                <w:rFonts w:ascii="Times New Roman" w:hAnsi="Times New Roman"/>
                <w:i/>
                <w:sz w:val="24"/>
                <w:szCs w:val="24"/>
              </w:rPr>
              <w:t>Implementing EBP into a Diploma Nursing Program</w:t>
            </w:r>
            <w:r w:rsidRPr="00E669A4">
              <w:rPr>
                <w:rFonts w:ascii="Times New Roman" w:hAnsi="Times New Roman"/>
                <w:sz w:val="24"/>
                <w:szCs w:val="24"/>
              </w:rPr>
              <w:t xml:space="preserve">, </w:t>
            </w:r>
            <w:r>
              <w:rPr>
                <w:rFonts w:ascii="Times New Roman" w:hAnsi="Times New Roman"/>
                <w:sz w:val="24"/>
                <w:szCs w:val="24"/>
              </w:rPr>
              <w:t>OLN Summit 2012</w:t>
            </w:r>
          </w:p>
          <w:p w:rsidR="00F65BE3" w:rsidRDefault="00B72480" w:rsidP="00CB5BF3">
            <w:pPr>
              <w:numPr>
                <w:ilvl w:val="0"/>
                <w:numId w:val="6"/>
              </w:numPr>
              <w:tabs>
                <w:tab w:val="left" w:pos="720"/>
                <w:tab w:val="left" w:pos="2160"/>
              </w:tabs>
              <w:rPr>
                <w:rFonts w:ascii="Times New Roman" w:hAnsi="Times New Roman"/>
                <w:sz w:val="24"/>
                <w:szCs w:val="24"/>
              </w:rPr>
            </w:pPr>
            <w:r w:rsidRPr="00E669A4">
              <w:rPr>
                <w:rFonts w:ascii="Times New Roman" w:hAnsi="Times New Roman"/>
                <w:sz w:val="24"/>
                <w:szCs w:val="24"/>
              </w:rPr>
              <w:t xml:space="preserve">K. </w:t>
            </w:r>
            <w:proofErr w:type="spellStart"/>
            <w:r w:rsidRPr="00E669A4">
              <w:rPr>
                <w:rFonts w:ascii="Times New Roman" w:hAnsi="Times New Roman"/>
                <w:sz w:val="24"/>
                <w:szCs w:val="24"/>
              </w:rPr>
              <w:t>Vanderpool</w:t>
            </w:r>
            <w:proofErr w:type="spellEnd"/>
            <w:r w:rsidRPr="00E669A4">
              <w:rPr>
                <w:rFonts w:ascii="Times New Roman" w:hAnsi="Times New Roman"/>
                <w:sz w:val="24"/>
                <w:szCs w:val="24"/>
              </w:rPr>
              <w:t xml:space="preserve">, K. </w:t>
            </w:r>
            <w:proofErr w:type="spellStart"/>
            <w:r w:rsidRPr="00E669A4">
              <w:rPr>
                <w:rFonts w:ascii="Times New Roman" w:hAnsi="Times New Roman"/>
                <w:sz w:val="24"/>
                <w:szCs w:val="24"/>
              </w:rPr>
              <w:t>Ammanniti</w:t>
            </w:r>
            <w:proofErr w:type="spellEnd"/>
            <w:r w:rsidRPr="00E669A4">
              <w:rPr>
                <w:rFonts w:ascii="Times New Roman" w:hAnsi="Times New Roman"/>
                <w:sz w:val="24"/>
                <w:szCs w:val="24"/>
              </w:rPr>
              <w:t xml:space="preserve">, presented, </w:t>
            </w:r>
            <w:r w:rsidRPr="00E669A4">
              <w:rPr>
                <w:rFonts w:ascii="Times New Roman" w:hAnsi="Times New Roman"/>
                <w:i/>
                <w:sz w:val="24"/>
                <w:szCs w:val="24"/>
              </w:rPr>
              <w:t xml:space="preserve">Paired </w:t>
            </w:r>
            <w:proofErr w:type="gramStart"/>
            <w:r w:rsidRPr="00E669A4">
              <w:rPr>
                <w:rFonts w:ascii="Times New Roman" w:hAnsi="Times New Roman"/>
                <w:i/>
                <w:sz w:val="24"/>
                <w:szCs w:val="24"/>
              </w:rPr>
              <w:t>Learning</w:t>
            </w:r>
            <w:proofErr w:type="gramEnd"/>
            <w:r w:rsidRPr="00E669A4">
              <w:rPr>
                <w:rFonts w:ascii="Times New Roman" w:hAnsi="Times New Roman"/>
                <w:i/>
                <w:sz w:val="24"/>
                <w:szCs w:val="24"/>
              </w:rPr>
              <w:t xml:space="preserve"> in the Clinical Environment.</w:t>
            </w:r>
            <w:r>
              <w:rPr>
                <w:rFonts w:ascii="Times New Roman" w:hAnsi="Times New Roman"/>
                <w:i/>
                <w:sz w:val="24"/>
                <w:szCs w:val="24"/>
              </w:rPr>
              <w:t xml:space="preserve"> </w:t>
            </w:r>
            <w:r>
              <w:rPr>
                <w:rFonts w:ascii="Times New Roman" w:hAnsi="Times New Roman"/>
                <w:sz w:val="24"/>
                <w:szCs w:val="24"/>
              </w:rPr>
              <w:t>OLN Summit 2012</w:t>
            </w:r>
          </w:p>
          <w:p w:rsidR="00B3644B" w:rsidRDefault="00B3644B" w:rsidP="00CB5BF3">
            <w:pPr>
              <w:numPr>
                <w:ilvl w:val="0"/>
                <w:numId w:val="6"/>
              </w:numPr>
              <w:tabs>
                <w:tab w:val="left" w:pos="720"/>
                <w:tab w:val="left" w:pos="2160"/>
              </w:tabs>
              <w:rPr>
                <w:rFonts w:ascii="Times New Roman" w:hAnsi="Times New Roman"/>
                <w:sz w:val="24"/>
                <w:szCs w:val="24"/>
              </w:rPr>
            </w:pPr>
            <w:r>
              <w:rPr>
                <w:rFonts w:ascii="Times New Roman" w:hAnsi="Times New Roman"/>
                <w:sz w:val="24"/>
                <w:szCs w:val="24"/>
              </w:rPr>
              <w:t xml:space="preserve">EBP Poster CE day at FRMC 8/2012:  D. </w:t>
            </w:r>
            <w:proofErr w:type="spellStart"/>
            <w:r>
              <w:rPr>
                <w:rFonts w:ascii="Times New Roman" w:hAnsi="Times New Roman"/>
                <w:sz w:val="24"/>
                <w:szCs w:val="24"/>
              </w:rPr>
              <w:t>Wikel</w:t>
            </w:r>
            <w:proofErr w:type="spellEnd"/>
            <w:r>
              <w:rPr>
                <w:rFonts w:ascii="Times New Roman" w:hAnsi="Times New Roman"/>
                <w:sz w:val="24"/>
                <w:szCs w:val="24"/>
              </w:rPr>
              <w:t xml:space="preserve"> and H. Price       , A. Rockwell and J. </w:t>
            </w:r>
            <w:proofErr w:type="spellStart"/>
            <w:r>
              <w:rPr>
                <w:rFonts w:ascii="Times New Roman" w:hAnsi="Times New Roman"/>
                <w:sz w:val="24"/>
                <w:szCs w:val="24"/>
              </w:rPr>
              <w:t>Reising</w:t>
            </w:r>
            <w:proofErr w:type="spellEnd"/>
            <w:r>
              <w:rPr>
                <w:rFonts w:ascii="Times New Roman" w:hAnsi="Times New Roman"/>
                <w:sz w:val="24"/>
                <w:szCs w:val="24"/>
              </w:rPr>
              <w:t xml:space="preserve"> presented, </w:t>
            </w:r>
            <w:r>
              <w:rPr>
                <w:rFonts w:ascii="Times New Roman" w:hAnsi="Times New Roman"/>
                <w:i/>
                <w:sz w:val="24"/>
                <w:szCs w:val="24"/>
              </w:rPr>
              <w:t>Critical Care Nurses Role: ABCDE Bundle,</w:t>
            </w:r>
          </w:p>
          <w:p w:rsidR="00B3644B" w:rsidRDefault="00B3644B" w:rsidP="00B3644B">
            <w:pPr>
              <w:tabs>
                <w:tab w:val="left" w:pos="720"/>
                <w:tab w:val="left" w:pos="2160"/>
              </w:tabs>
              <w:ind w:left="504"/>
              <w:rPr>
                <w:rFonts w:ascii="Times New Roman" w:hAnsi="Times New Roman"/>
                <w:sz w:val="24"/>
                <w:szCs w:val="24"/>
              </w:rPr>
            </w:pPr>
          </w:p>
          <w:p w:rsidR="00CA321C" w:rsidRDefault="00CA321C" w:rsidP="00CA321C">
            <w:pPr>
              <w:numPr>
                <w:ilvl w:val="0"/>
                <w:numId w:val="6"/>
              </w:numPr>
              <w:rPr>
                <w:rFonts w:ascii="Times New Roman" w:hAnsi="Times New Roman"/>
                <w:sz w:val="24"/>
                <w:szCs w:val="24"/>
              </w:rPr>
            </w:pPr>
            <w:r w:rsidRPr="00E669A4">
              <w:rPr>
                <w:rFonts w:ascii="Times New Roman" w:hAnsi="Times New Roman"/>
                <w:sz w:val="24"/>
                <w:szCs w:val="24"/>
              </w:rPr>
              <w:t xml:space="preserve">K. </w:t>
            </w:r>
            <w:proofErr w:type="spellStart"/>
            <w:r w:rsidRPr="00E669A4">
              <w:rPr>
                <w:rFonts w:ascii="Times New Roman" w:hAnsi="Times New Roman"/>
                <w:sz w:val="24"/>
                <w:szCs w:val="24"/>
              </w:rPr>
              <w:t>Ammanniti</w:t>
            </w:r>
            <w:proofErr w:type="spellEnd"/>
            <w:r w:rsidRPr="00E669A4">
              <w:rPr>
                <w:rFonts w:ascii="Times New Roman" w:hAnsi="Times New Roman"/>
                <w:sz w:val="24"/>
                <w:szCs w:val="24"/>
              </w:rPr>
              <w:t xml:space="preserve"> presented an EBP poster at FRMCs Research poster day 3/2011</w:t>
            </w:r>
          </w:p>
          <w:p w:rsidR="00B3644B" w:rsidRDefault="00B3644B" w:rsidP="00B3644B">
            <w:pPr>
              <w:rPr>
                <w:rFonts w:ascii="Times New Roman" w:hAnsi="Times New Roman"/>
                <w:sz w:val="24"/>
                <w:szCs w:val="24"/>
              </w:rPr>
            </w:pPr>
          </w:p>
          <w:p w:rsidR="00CA321C" w:rsidRDefault="00CA321C" w:rsidP="00CA321C">
            <w:pPr>
              <w:numPr>
                <w:ilvl w:val="0"/>
                <w:numId w:val="6"/>
              </w:numPr>
              <w:tabs>
                <w:tab w:val="left" w:pos="720"/>
                <w:tab w:val="left" w:pos="2160"/>
              </w:tabs>
              <w:rPr>
                <w:rFonts w:ascii="Times New Roman" w:hAnsi="Times New Roman"/>
                <w:sz w:val="24"/>
                <w:szCs w:val="24"/>
              </w:rPr>
            </w:pPr>
            <w:r w:rsidRPr="00E669A4">
              <w:rPr>
                <w:rFonts w:ascii="Times New Roman" w:hAnsi="Times New Roman"/>
                <w:sz w:val="24"/>
                <w:szCs w:val="24"/>
              </w:rPr>
              <w:t xml:space="preserve">FRMC sponsored nursing grand rounds on EBP and CE poster sessions related to EBP </w:t>
            </w:r>
            <w:r>
              <w:rPr>
                <w:rFonts w:ascii="Times New Roman" w:hAnsi="Times New Roman"/>
                <w:sz w:val="24"/>
                <w:szCs w:val="24"/>
              </w:rPr>
              <w:t>8/</w:t>
            </w:r>
            <w:r w:rsidRPr="00E669A4">
              <w:rPr>
                <w:rFonts w:ascii="Times New Roman" w:hAnsi="Times New Roman"/>
                <w:sz w:val="24"/>
                <w:szCs w:val="24"/>
              </w:rPr>
              <w:t xml:space="preserve">2011; faculty presenting posters were K. </w:t>
            </w:r>
            <w:proofErr w:type="spellStart"/>
            <w:r w:rsidRPr="00E669A4">
              <w:rPr>
                <w:rFonts w:ascii="Times New Roman" w:hAnsi="Times New Roman"/>
                <w:sz w:val="24"/>
                <w:szCs w:val="24"/>
              </w:rPr>
              <w:t>Ammanniti</w:t>
            </w:r>
            <w:proofErr w:type="spellEnd"/>
            <w:r w:rsidRPr="00E669A4">
              <w:rPr>
                <w:rFonts w:ascii="Times New Roman" w:hAnsi="Times New Roman"/>
                <w:sz w:val="24"/>
                <w:szCs w:val="24"/>
              </w:rPr>
              <w:t xml:space="preserve">, H. Myers, and J. </w:t>
            </w:r>
            <w:proofErr w:type="spellStart"/>
            <w:r w:rsidRPr="00E669A4">
              <w:rPr>
                <w:rFonts w:ascii="Times New Roman" w:hAnsi="Times New Roman"/>
                <w:sz w:val="24"/>
                <w:szCs w:val="24"/>
              </w:rPr>
              <w:t>Reising</w:t>
            </w:r>
            <w:proofErr w:type="spellEnd"/>
            <w:r w:rsidRPr="00E669A4">
              <w:rPr>
                <w:rFonts w:ascii="Times New Roman" w:hAnsi="Times New Roman"/>
                <w:sz w:val="24"/>
                <w:szCs w:val="24"/>
              </w:rPr>
              <w:t>.</w:t>
            </w:r>
          </w:p>
          <w:p w:rsidR="00B3644B" w:rsidRDefault="00B3644B" w:rsidP="00B3644B">
            <w:pPr>
              <w:tabs>
                <w:tab w:val="left" w:pos="720"/>
                <w:tab w:val="left" w:pos="2160"/>
              </w:tabs>
              <w:rPr>
                <w:rFonts w:ascii="Times New Roman" w:hAnsi="Times New Roman"/>
                <w:sz w:val="24"/>
                <w:szCs w:val="24"/>
              </w:rPr>
            </w:pPr>
          </w:p>
          <w:p w:rsidR="00CA321C" w:rsidRPr="00E669A4" w:rsidRDefault="00CA321C" w:rsidP="00CA321C">
            <w:pPr>
              <w:numPr>
                <w:ilvl w:val="0"/>
                <w:numId w:val="6"/>
              </w:numPr>
              <w:rPr>
                <w:rFonts w:ascii="Times New Roman" w:hAnsi="Times New Roman"/>
                <w:sz w:val="24"/>
                <w:szCs w:val="24"/>
              </w:rPr>
            </w:pPr>
            <w:r w:rsidRPr="00E669A4">
              <w:rPr>
                <w:rFonts w:ascii="Times New Roman" w:hAnsi="Times New Roman"/>
                <w:sz w:val="24"/>
                <w:szCs w:val="24"/>
              </w:rPr>
              <w:t xml:space="preserve">B. </w:t>
            </w:r>
            <w:proofErr w:type="spellStart"/>
            <w:r w:rsidRPr="00E669A4">
              <w:rPr>
                <w:rFonts w:ascii="Times New Roman" w:hAnsi="Times New Roman"/>
                <w:sz w:val="24"/>
                <w:szCs w:val="24"/>
              </w:rPr>
              <w:t>Brunow</w:t>
            </w:r>
            <w:proofErr w:type="spellEnd"/>
            <w:r w:rsidRPr="00E669A4">
              <w:rPr>
                <w:rFonts w:ascii="Times New Roman" w:hAnsi="Times New Roman"/>
                <w:sz w:val="24"/>
                <w:szCs w:val="24"/>
              </w:rPr>
              <w:t xml:space="preserve">, </w:t>
            </w:r>
            <w:r>
              <w:rPr>
                <w:rFonts w:ascii="Times New Roman" w:hAnsi="Times New Roman"/>
                <w:sz w:val="24"/>
                <w:szCs w:val="24"/>
              </w:rPr>
              <w:t>M</w:t>
            </w:r>
            <w:r w:rsidRPr="00E669A4">
              <w:rPr>
                <w:rFonts w:ascii="Times New Roman" w:hAnsi="Times New Roman"/>
                <w:sz w:val="24"/>
                <w:szCs w:val="24"/>
              </w:rPr>
              <w:t xml:space="preserve">. </w:t>
            </w:r>
            <w:proofErr w:type="spellStart"/>
            <w:r w:rsidRPr="00E669A4">
              <w:rPr>
                <w:rFonts w:ascii="Times New Roman" w:hAnsi="Times New Roman"/>
                <w:sz w:val="24"/>
                <w:szCs w:val="24"/>
              </w:rPr>
              <w:t>Bussard</w:t>
            </w:r>
            <w:proofErr w:type="spellEnd"/>
            <w:r w:rsidRPr="00E669A4">
              <w:rPr>
                <w:rFonts w:ascii="Times New Roman" w:hAnsi="Times New Roman"/>
                <w:sz w:val="24"/>
                <w:szCs w:val="24"/>
              </w:rPr>
              <w:t xml:space="preserve">, and A. Smith presented, </w:t>
            </w:r>
            <w:r w:rsidRPr="00E669A4">
              <w:rPr>
                <w:rFonts w:ascii="Times New Roman" w:hAnsi="Times New Roman"/>
                <w:i/>
                <w:sz w:val="24"/>
                <w:szCs w:val="24"/>
              </w:rPr>
              <w:t>Implementation of Online Clinical Discussions</w:t>
            </w:r>
            <w:r w:rsidRPr="00E669A4">
              <w:rPr>
                <w:rFonts w:ascii="Times New Roman" w:hAnsi="Times New Roman"/>
                <w:sz w:val="24"/>
                <w:szCs w:val="24"/>
              </w:rPr>
              <w:t>, at the OLN conference March, 2010.</w:t>
            </w:r>
          </w:p>
          <w:p w:rsidR="00CA321C" w:rsidRPr="00E669A4" w:rsidRDefault="00CA321C" w:rsidP="00CA321C">
            <w:pPr>
              <w:numPr>
                <w:ilvl w:val="0"/>
                <w:numId w:val="6"/>
              </w:numPr>
              <w:tabs>
                <w:tab w:val="left" w:pos="720"/>
                <w:tab w:val="left" w:pos="2160"/>
              </w:tabs>
              <w:rPr>
                <w:rFonts w:ascii="Times New Roman" w:hAnsi="Times New Roman"/>
                <w:sz w:val="24"/>
                <w:szCs w:val="24"/>
              </w:rPr>
            </w:pPr>
            <w:r>
              <w:rPr>
                <w:rFonts w:ascii="Times New Roman" w:hAnsi="Times New Roman"/>
                <w:sz w:val="24"/>
                <w:szCs w:val="24"/>
              </w:rPr>
              <w:t xml:space="preserve">H. Price, J. </w:t>
            </w:r>
            <w:proofErr w:type="spellStart"/>
            <w:r>
              <w:rPr>
                <w:rFonts w:ascii="Times New Roman" w:hAnsi="Times New Roman"/>
                <w:sz w:val="24"/>
                <w:szCs w:val="24"/>
              </w:rPr>
              <w:t>Stradtman</w:t>
            </w:r>
            <w:proofErr w:type="spellEnd"/>
            <w:r>
              <w:rPr>
                <w:rFonts w:ascii="Times New Roman" w:hAnsi="Times New Roman"/>
                <w:sz w:val="24"/>
                <w:szCs w:val="24"/>
              </w:rPr>
              <w:t xml:space="preserve">, T. Bower, J. </w:t>
            </w:r>
            <w:proofErr w:type="spellStart"/>
            <w:r>
              <w:rPr>
                <w:rFonts w:ascii="Times New Roman" w:hAnsi="Times New Roman"/>
                <w:sz w:val="24"/>
                <w:szCs w:val="24"/>
              </w:rPr>
              <w:t>Reising</w:t>
            </w:r>
            <w:proofErr w:type="spellEnd"/>
            <w:r>
              <w:rPr>
                <w:rFonts w:ascii="Times New Roman" w:hAnsi="Times New Roman"/>
                <w:sz w:val="24"/>
                <w:szCs w:val="24"/>
              </w:rPr>
              <w:t xml:space="preserve">, B. </w:t>
            </w:r>
            <w:proofErr w:type="spellStart"/>
            <w:proofErr w:type="gramStart"/>
            <w:r>
              <w:rPr>
                <w:rFonts w:ascii="Times New Roman" w:hAnsi="Times New Roman"/>
                <w:sz w:val="24"/>
                <w:szCs w:val="24"/>
              </w:rPr>
              <w:t>Brunow</w:t>
            </w:r>
            <w:proofErr w:type="spellEnd"/>
            <w:r>
              <w:rPr>
                <w:rFonts w:ascii="Times New Roman" w:hAnsi="Times New Roman"/>
                <w:sz w:val="24"/>
                <w:szCs w:val="24"/>
              </w:rPr>
              <w:t xml:space="preserve">,   </w:t>
            </w:r>
            <w:r>
              <w:rPr>
                <w:rFonts w:ascii="Times New Roman" w:hAnsi="Times New Roman"/>
                <w:color w:val="FF0000"/>
                <w:sz w:val="24"/>
                <w:szCs w:val="24"/>
              </w:rPr>
              <w:t>????</w:t>
            </w:r>
            <w:proofErr w:type="gramEnd"/>
            <w:r>
              <w:rPr>
                <w:rFonts w:ascii="Times New Roman" w:hAnsi="Times New Roman"/>
                <w:sz w:val="24"/>
                <w:szCs w:val="24"/>
              </w:rPr>
              <w:t xml:space="preserve"> </w:t>
            </w:r>
            <w:r w:rsidRPr="00E669A4">
              <w:rPr>
                <w:rFonts w:ascii="Times New Roman" w:hAnsi="Times New Roman"/>
                <w:sz w:val="24"/>
                <w:szCs w:val="24"/>
              </w:rPr>
              <w:t>“</w:t>
            </w:r>
            <w:r w:rsidRPr="00E669A4">
              <w:rPr>
                <w:rFonts w:ascii="Times New Roman" w:hAnsi="Times New Roman"/>
                <w:i/>
                <w:sz w:val="24"/>
                <w:szCs w:val="24"/>
              </w:rPr>
              <w:t>Enhanced Education: Advancing Nursing Practice</w:t>
            </w:r>
            <w:r w:rsidRPr="00E669A4">
              <w:rPr>
                <w:rFonts w:ascii="Times New Roman" w:hAnsi="Times New Roman"/>
                <w:sz w:val="24"/>
                <w:szCs w:val="24"/>
              </w:rPr>
              <w:t>” presented at the CNS conference in Cleveland 2009</w:t>
            </w:r>
          </w:p>
        </w:tc>
      </w:tr>
      <w:tr w:rsidR="00F65BE3" w:rsidRPr="00E669A4" w:rsidTr="00E669A4">
        <w:tc>
          <w:tcPr>
            <w:tcW w:w="9576" w:type="dxa"/>
            <w:shd w:val="clear" w:color="auto" w:fill="F2F2F2" w:themeFill="background1" w:themeFillShade="F2"/>
          </w:tcPr>
          <w:p w:rsidR="00F65BE3" w:rsidRPr="00E669A4" w:rsidRDefault="00F65BE3" w:rsidP="00CB5BF3">
            <w:pPr>
              <w:jc w:val="center"/>
              <w:rPr>
                <w:rFonts w:ascii="Times New Roman" w:hAnsi="Times New Roman"/>
                <w:sz w:val="24"/>
                <w:szCs w:val="24"/>
              </w:rPr>
            </w:pPr>
            <w:r w:rsidRPr="00E669A4">
              <w:rPr>
                <w:rFonts w:ascii="Times New Roman" w:hAnsi="Times New Roman"/>
                <w:sz w:val="24"/>
                <w:szCs w:val="24"/>
              </w:rPr>
              <w:t>Professional Organizations</w:t>
            </w:r>
          </w:p>
        </w:tc>
      </w:tr>
      <w:tr w:rsidR="00F65BE3" w:rsidRPr="00E669A4" w:rsidTr="00F65BE3">
        <w:tc>
          <w:tcPr>
            <w:tcW w:w="9576" w:type="dxa"/>
          </w:tcPr>
          <w:p w:rsidR="00F65BE3" w:rsidRPr="00E669A4" w:rsidRDefault="00D66A0C" w:rsidP="00CB5BF3">
            <w:pPr>
              <w:rPr>
                <w:rFonts w:ascii="Times New Roman" w:hAnsi="Times New Roman"/>
                <w:sz w:val="24"/>
                <w:szCs w:val="24"/>
              </w:rPr>
            </w:pPr>
            <w:r w:rsidRPr="00E669A4">
              <w:rPr>
                <w:rFonts w:ascii="Times New Roman" w:hAnsi="Times New Roman"/>
                <w:sz w:val="24"/>
                <w:szCs w:val="24"/>
              </w:rPr>
              <w:t>OLN, NLN, A</w:t>
            </w:r>
            <w:r w:rsidR="00355AB5">
              <w:rPr>
                <w:rFonts w:ascii="Times New Roman" w:hAnsi="Times New Roman"/>
                <w:sz w:val="24"/>
                <w:szCs w:val="24"/>
              </w:rPr>
              <w:t xml:space="preserve">merican </w:t>
            </w:r>
            <w:r w:rsidRPr="00E669A4">
              <w:rPr>
                <w:rFonts w:ascii="Times New Roman" w:hAnsi="Times New Roman"/>
                <w:sz w:val="24"/>
                <w:szCs w:val="24"/>
              </w:rPr>
              <w:t>A</w:t>
            </w:r>
            <w:r w:rsidR="00355AB5">
              <w:rPr>
                <w:rFonts w:ascii="Times New Roman" w:hAnsi="Times New Roman"/>
                <w:sz w:val="24"/>
                <w:szCs w:val="24"/>
              </w:rPr>
              <w:t xml:space="preserve">ssociation of </w:t>
            </w:r>
            <w:r w:rsidRPr="00E669A4">
              <w:rPr>
                <w:rFonts w:ascii="Times New Roman" w:hAnsi="Times New Roman"/>
                <w:sz w:val="24"/>
                <w:szCs w:val="24"/>
              </w:rPr>
              <w:t>C</w:t>
            </w:r>
            <w:r w:rsidR="00355AB5">
              <w:rPr>
                <w:rFonts w:ascii="Times New Roman" w:hAnsi="Times New Roman"/>
                <w:sz w:val="24"/>
                <w:szCs w:val="24"/>
              </w:rPr>
              <w:t xml:space="preserve">ritical Care Nurses, </w:t>
            </w:r>
            <w:r w:rsidRPr="00E669A4">
              <w:rPr>
                <w:rFonts w:ascii="Times New Roman" w:hAnsi="Times New Roman"/>
                <w:sz w:val="24"/>
                <w:szCs w:val="24"/>
              </w:rPr>
              <w:t>N</w:t>
            </w:r>
            <w:r w:rsidR="00355AB5">
              <w:rPr>
                <w:rFonts w:ascii="Times New Roman" w:hAnsi="Times New Roman"/>
                <w:sz w:val="24"/>
                <w:szCs w:val="24"/>
              </w:rPr>
              <w:t xml:space="preserve">orth </w:t>
            </w:r>
            <w:r w:rsidRPr="00E669A4">
              <w:rPr>
                <w:rFonts w:ascii="Times New Roman" w:hAnsi="Times New Roman"/>
                <w:sz w:val="24"/>
                <w:szCs w:val="24"/>
              </w:rPr>
              <w:t>E</w:t>
            </w:r>
            <w:r w:rsidR="00355AB5">
              <w:rPr>
                <w:rFonts w:ascii="Times New Roman" w:hAnsi="Times New Roman"/>
                <w:sz w:val="24"/>
                <w:szCs w:val="24"/>
              </w:rPr>
              <w:t xml:space="preserve">ast </w:t>
            </w:r>
            <w:r w:rsidRPr="00E669A4">
              <w:rPr>
                <w:rFonts w:ascii="Times New Roman" w:hAnsi="Times New Roman"/>
                <w:sz w:val="24"/>
                <w:szCs w:val="24"/>
              </w:rPr>
              <w:t>O</w:t>
            </w:r>
            <w:r w:rsidR="00355AB5">
              <w:rPr>
                <w:rFonts w:ascii="Times New Roman" w:hAnsi="Times New Roman"/>
                <w:sz w:val="24"/>
                <w:szCs w:val="24"/>
              </w:rPr>
              <w:t xml:space="preserve">hio </w:t>
            </w:r>
            <w:r w:rsidR="00355AB5" w:rsidRPr="00E669A4">
              <w:rPr>
                <w:rFonts w:ascii="Times New Roman" w:hAnsi="Times New Roman"/>
                <w:sz w:val="24"/>
                <w:szCs w:val="24"/>
              </w:rPr>
              <w:t>N</w:t>
            </w:r>
            <w:r w:rsidR="00355AB5">
              <w:rPr>
                <w:rFonts w:ascii="Times New Roman" w:hAnsi="Times New Roman"/>
                <w:sz w:val="24"/>
                <w:szCs w:val="24"/>
              </w:rPr>
              <w:t xml:space="preserve">ursing </w:t>
            </w:r>
            <w:r w:rsidRPr="00E669A4">
              <w:rPr>
                <w:rFonts w:ascii="Times New Roman" w:hAnsi="Times New Roman"/>
                <w:sz w:val="24"/>
                <w:szCs w:val="24"/>
              </w:rPr>
              <w:t>I</w:t>
            </w:r>
            <w:r w:rsidR="00355AB5">
              <w:rPr>
                <w:rFonts w:ascii="Times New Roman" w:hAnsi="Times New Roman"/>
                <w:sz w:val="24"/>
                <w:szCs w:val="24"/>
              </w:rPr>
              <w:t>nitiative</w:t>
            </w:r>
            <w:r w:rsidRPr="00E669A4">
              <w:rPr>
                <w:rFonts w:ascii="Times New Roman" w:hAnsi="Times New Roman"/>
                <w:sz w:val="24"/>
                <w:szCs w:val="24"/>
              </w:rPr>
              <w:t xml:space="preserve">, </w:t>
            </w:r>
            <w:r w:rsidR="00A51516" w:rsidRPr="00E669A4">
              <w:rPr>
                <w:rFonts w:ascii="Times New Roman" w:hAnsi="Times New Roman"/>
                <w:sz w:val="24"/>
                <w:szCs w:val="24"/>
              </w:rPr>
              <w:t xml:space="preserve">Neonatal Resuscitation Program Committee, </w:t>
            </w:r>
            <w:r w:rsidR="00A4159E" w:rsidRPr="00E669A4">
              <w:rPr>
                <w:rFonts w:ascii="Times New Roman" w:hAnsi="Times New Roman"/>
                <w:sz w:val="24"/>
                <w:szCs w:val="24"/>
              </w:rPr>
              <w:t>International Nursing Association for Clinical Simulation and Learning</w:t>
            </w:r>
            <w:r w:rsidR="00647955" w:rsidRPr="00E669A4">
              <w:rPr>
                <w:rFonts w:ascii="Times New Roman" w:hAnsi="Times New Roman"/>
                <w:sz w:val="24"/>
                <w:szCs w:val="24"/>
              </w:rPr>
              <w:t xml:space="preserve">, International Council of Nursing, </w:t>
            </w:r>
            <w:r w:rsidR="009504FD">
              <w:rPr>
                <w:rFonts w:ascii="Times New Roman" w:hAnsi="Times New Roman"/>
                <w:sz w:val="24"/>
                <w:szCs w:val="24"/>
              </w:rPr>
              <w:t xml:space="preserve">Sigma Theta Tau, </w:t>
            </w:r>
            <w:r w:rsidR="00477E22">
              <w:rPr>
                <w:rFonts w:ascii="Times New Roman" w:hAnsi="Times New Roman"/>
                <w:sz w:val="24"/>
                <w:szCs w:val="24"/>
              </w:rPr>
              <w:t xml:space="preserve">Region III+ </w:t>
            </w:r>
            <w:proofErr w:type="spellStart"/>
            <w:r w:rsidR="00477E22">
              <w:rPr>
                <w:rFonts w:ascii="Times New Roman" w:hAnsi="Times New Roman"/>
                <w:sz w:val="24"/>
                <w:szCs w:val="24"/>
              </w:rPr>
              <w:t>Perinatal</w:t>
            </w:r>
            <w:proofErr w:type="spellEnd"/>
            <w:r w:rsidR="00477E22">
              <w:rPr>
                <w:rFonts w:ascii="Times New Roman" w:hAnsi="Times New Roman"/>
                <w:sz w:val="24"/>
                <w:szCs w:val="24"/>
              </w:rPr>
              <w:t xml:space="preserve"> Education Consortium, Ohio Nurses Association Reviewer for Provider Units, The Future of Nursing Campaign for Action several workgroups.</w:t>
            </w:r>
          </w:p>
        </w:tc>
      </w:tr>
      <w:tr w:rsidR="00F65BE3" w:rsidRPr="00E669A4" w:rsidTr="00E669A4">
        <w:tc>
          <w:tcPr>
            <w:tcW w:w="9576" w:type="dxa"/>
            <w:shd w:val="clear" w:color="auto" w:fill="F2F2F2" w:themeFill="background1" w:themeFillShade="F2"/>
          </w:tcPr>
          <w:p w:rsidR="00F65BE3" w:rsidRPr="00E669A4" w:rsidRDefault="00F65BE3" w:rsidP="00CB5BF3">
            <w:pPr>
              <w:jc w:val="center"/>
              <w:rPr>
                <w:rFonts w:ascii="Times New Roman" w:hAnsi="Times New Roman"/>
                <w:sz w:val="24"/>
                <w:szCs w:val="24"/>
              </w:rPr>
            </w:pPr>
            <w:r w:rsidRPr="00E669A4">
              <w:rPr>
                <w:rFonts w:ascii="Times New Roman" w:hAnsi="Times New Roman"/>
                <w:sz w:val="24"/>
                <w:szCs w:val="24"/>
              </w:rPr>
              <w:t>Awards and Research</w:t>
            </w:r>
          </w:p>
        </w:tc>
      </w:tr>
      <w:tr w:rsidR="00F65BE3" w:rsidRPr="00E669A4" w:rsidTr="00F65BE3">
        <w:tc>
          <w:tcPr>
            <w:tcW w:w="9576" w:type="dxa"/>
          </w:tcPr>
          <w:p w:rsidR="00CD1FF2" w:rsidRPr="00B72480" w:rsidRDefault="00CD1FF2" w:rsidP="00CB5BF3">
            <w:pPr>
              <w:pStyle w:val="ListParagraph"/>
              <w:numPr>
                <w:ilvl w:val="0"/>
                <w:numId w:val="9"/>
              </w:numPr>
              <w:spacing w:after="0" w:line="240" w:lineRule="auto"/>
              <w:rPr>
                <w:rFonts w:ascii="Times New Roman" w:hAnsi="Times New Roman" w:cs="Times New Roman"/>
                <w:sz w:val="24"/>
                <w:szCs w:val="24"/>
              </w:rPr>
            </w:pPr>
            <w:r w:rsidRPr="00B72480">
              <w:rPr>
                <w:rFonts w:ascii="Times New Roman" w:hAnsi="Times New Roman" w:cs="Times New Roman"/>
                <w:sz w:val="24"/>
                <w:szCs w:val="24"/>
              </w:rPr>
              <w:t xml:space="preserve">H. Price </w:t>
            </w:r>
            <w:r w:rsidR="00B72480" w:rsidRPr="00B72480">
              <w:rPr>
                <w:rFonts w:ascii="Times New Roman" w:hAnsi="Times New Roman" w:cs="Times New Roman"/>
                <w:sz w:val="24"/>
                <w:szCs w:val="24"/>
              </w:rPr>
              <w:t>was</w:t>
            </w:r>
            <w:r w:rsidRPr="00B72480">
              <w:rPr>
                <w:rFonts w:ascii="Times New Roman" w:hAnsi="Times New Roman" w:cs="Times New Roman"/>
                <w:sz w:val="24"/>
                <w:szCs w:val="24"/>
              </w:rPr>
              <w:t xml:space="preserve"> inducted as a Fellow in the Academy of Nursing Education.</w:t>
            </w:r>
          </w:p>
          <w:p w:rsidR="00CD1FF2" w:rsidRPr="00B72480" w:rsidRDefault="00CD1FF2" w:rsidP="00CB5BF3">
            <w:pPr>
              <w:pStyle w:val="ListParagraph"/>
              <w:numPr>
                <w:ilvl w:val="0"/>
                <w:numId w:val="9"/>
              </w:numPr>
              <w:spacing w:after="0" w:line="240" w:lineRule="auto"/>
              <w:rPr>
                <w:rFonts w:ascii="Times New Roman" w:hAnsi="Times New Roman" w:cs="Times New Roman"/>
                <w:sz w:val="24"/>
                <w:szCs w:val="24"/>
              </w:rPr>
            </w:pPr>
            <w:r w:rsidRPr="00B72480">
              <w:rPr>
                <w:rFonts w:ascii="Times New Roman" w:hAnsi="Times New Roman" w:cs="Times New Roman"/>
                <w:sz w:val="24"/>
                <w:szCs w:val="24"/>
              </w:rPr>
              <w:t>2009</w:t>
            </w:r>
            <w:r w:rsidR="00B72480" w:rsidRPr="00B72480">
              <w:rPr>
                <w:rFonts w:ascii="Times New Roman" w:hAnsi="Times New Roman" w:cs="Times New Roman"/>
                <w:sz w:val="24"/>
                <w:szCs w:val="24"/>
              </w:rPr>
              <w:t xml:space="preserve"> </w:t>
            </w:r>
            <w:r w:rsidRPr="00B72480">
              <w:rPr>
                <w:rFonts w:ascii="Times New Roman" w:hAnsi="Times New Roman" w:cs="Times New Roman"/>
                <w:sz w:val="24"/>
                <w:szCs w:val="24"/>
              </w:rPr>
              <w:t xml:space="preserve">H. Price, </w:t>
            </w:r>
            <w:r w:rsidR="00CB5BF3">
              <w:rPr>
                <w:rFonts w:ascii="Times New Roman" w:hAnsi="Times New Roman" w:cs="Times New Roman"/>
                <w:sz w:val="24"/>
                <w:szCs w:val="24"/>
              </w:rPr>
              <w:t>M</w:t>
            </w:r>
            <w:r w:rsidRPr="00B72480">
              <w:rPr>
                <w:rFonts w:ascii="Times New Roman" w:hAnsi="Times New Roman" w:cs="Times New Roman"/>
                <w:sz w:val="24"/>
                <w:szCs w:val="24"/>
              </w:rPr>
              <w:t xml:space="preserve">. </w:t>
            </w:r>
            <w:proofErr w:type="spellStart"/>
            <w:r w:rsidRPr="00B72480">
              <w:rPr>
                <w:rFonts w:ascii="Times New Roman" w:hAnsi="Times New Roman" w:cs="Times New Roman"/>
                <w:sz w:val="24"/>
                <w:szCs w:val="24"/>
              </w:rPr>
              <w:t>Bussard</w:t>
            </w:r>
            <w:proofErr w:type="spellEnd"/>
            <w:r w:rsidRPr="00B72480">
              <w:rPr>
                <w:rFonts w:ascii="Times New Roman" w:hAnsi="Times New Roman" w:cs="Times New Roman"/>
                <w:sz w:val="24"/>
                <w:szCs w:val="24"/>
              </w:rPr>
              <w:t xml:space="preserve">, K. </w:t>
            </w:r>
            <w:proofErr w:type="spellStart"/>
            <w:r w:rsidRPr="00B72480">
              <w:rPr>
                <w:rFonts w:ascii="Times New Roman" w:hAnsi="Times New Roman" w:cs="Times New Roman"/>
                <w:sz w:val="24"/>
                <w:szCs w:val="24"/>
              </w:rPr>
              <w:t>Vanderpool</w:t>
            </w:r>
            <w:proofErr w:type="spellEnd"/>
            <w:r w:rsidRPr="00B72480">
              <w:rPr>
                <w:rFonts w:ascii="Times New Roman" w:hAnsi="Times New Roman" w:cs="Times New Roman"/>
                <w:sz w:val="24"/>
                <w:szCs w:val="24"/>
              </w:rPr>
              <w:t>, T. Bower, D. Girard wrote and received a grant from</w:t>
            </w:r>
            <w:r w:rsidR="00B72480">
              <w:rPr>
                <w:rFonts w:ascii="Times New Roman" w:hAnsi="Times New Roman" w:cs="Times New Roman"/>
                <w:sz w:val="24"/>
                <w:szCs w:val="24"/>
              </w:rPr>
              <w:t xml:space="preserve"> </w:t>
            </w:r>
            <w:r w:rsidRPr="00B72480">
              <w:rPr>
                <w:rFonts w:ascii="Times New Roman" w:hAnsi="Times New Roman" w:cs="Times New Roman"/>
                <w:sz w:val="24"/>
                <w:szCs w:val="24"/>
              </w:rPr>
              <w:t xml:space="preserve">the Ohio Board of Nursing for purchase of </w:t>
            </w:r>
            <w:proofErr w:type="spellStart"/>
            <w:r w:rsidRPr="00B72480">
              <w:rPr>
                <w:rFonts w:ascii="Times New Roman" w:hAnsi="Times New Roman" w:cs="Times New Roman"/>
                <w:sz w:val="24"/>
                <w:szCs w:val="24"/>
              </w:rPr>
              <w:t>SimMan</w:t>
            </w:r>
            <w:proofErr w:type="spellEnd"/>
            <w:r w:rsidRPr="00B72480">
              <w:rPr>
                <w:rFonts w:ascii="Times New Roman" w:hAnsi="Times New Roman" w:cs="Times New Roman"/>
                <w:sz w:val="24"/>
                <w:szCs w:val="24"/>
              </w:rPr>
              <w:t xml:space="preserve"> and </w:t>
            </w:r>
            <w:proofErr w:type="spellStart"/>
            <w:r w:rsidRPr="00B72480">
              <w:rPr>
                <w:rFonts w:ascii="Times New Roman" w:hAnsi="Times New Roman" w:cs="Times New Roman"/>
                <w:sz w:val="24"/>
                <w:szCs w:val="24"/>
              </w:rPr>
              <w:t>SimBaby</w:t>
            </w:r>
            <w:proofErr w:type="spellEnd"/>
            <w:r w:rsidRPr="00B72480">
              <w:rPr>
                <w:rFonts w:ascii="Times New Roman" w:hAnsi="Times New Roman" w:cs="Times New Roman"/>
                <w:sz w:val="24"/>
                <w:szCs w:val="24"/>
              </w:rPr>
              <w:t>.</w:t>
            </w:r>
          </w:p>
          <w:p w:rsidR="00F65BE3" w:rsidRPr="00B72480" w:rsidRDefault="00CD1FF2" w:rsidP="00CB5BF3">
            <w:pPr>
              <w:pStyle w:val="ListParagraph"/>
              <w:numPr>
                <w:ilvl w:val="0"/>
                <w:numId w:val="9"/>
              </w:numPr>
              <w:spacing w:after="0" w:line="240" w:lineRule="auto"/>
              <w:rPr>
                <w:rFonts w:ascii="Times New Roman" w:hAnsi="Times New Roman" w:cs="Times New Roman"/>
                <w:sz w:val="24"/>
                <w:szCs w:val="24"/>
              </w:rPr>
            </w:pPr>
            <w:r w:rsidRPr="00B72480">
              <w:rPr>
                <w:rFonts w:ascii="Times New Roman" w:hAnsi="Times New Roman" w:cs="Times New Roman"/>
                <w:sz w:val="24"/>
                <w:szCs w:val="24"/>
              </w:rPr>
              <w:t xml:space="preserve">2011 </w:t>
            </w:r>
            <w:r w:rsidR="00B72480">
              <w:rPr>
                <w:rFonts w:ascii="Times New Roman" w:hAnsi="Times New Roman" w:cs="Times New Roman"/>
                <w:sz w:val="24"/>
                <w:szCs w:val="24"/>
              </w:rPr>
              <w:t xml:space="preserve">H. Price, </w:t>
            </w:r>
            <w:r w:rsidR="00B23536">
              <w:rPr>
                <w:rFonts w:ascii="Times New Roman" w:hAnsi="Times New Roman" w:cs="Times New Roman"/>
                <w:sz w:val="24"/>
                <w:szCs w:val="24"/>
              </w:rPr>
              <w:t xml:space="preserve">K. </w:t>
            </w:r>
            <w:proofErr w:type="spellStart"/>
            <w:r w:rsidR="00B23536">
              <w:rPr>
                <w:rFonts w:ascii="Times New Roman" w:hAnsi="Times New Roman" w:cs="Times New Roman"/>
                <w:sz w:val="24"/>
                <w:szCs w:val="24"/>
              </w:rPr>
              <w:t>Ammanniti</w:t>
            </w:r>
            <w:proofErr w:type="spellEnd"/>
            <w:r w:rsidR="00B23536">
              <w:rPr>
                <w:rFonts w:ascii="Times New Roman" w:hAnsi="Times New Roman" w:cs="Times New Roman"/>
                <w:sz w:val="24"/>
                <w:szCs w:val="24"/>
              </w:rPr>
              <w:t xml:space="preserve">, </w:t>
            </w:r>
            <w:r w:rsidR="00CB5BF3">
              <w:rPr>
                <w:rFonts w:ascii="Times New Roman" w:hAnsi="Times New Roman" w:cs="Times New Roman"/>
                <w:sz w:val="24"/>
                <w:szCs w:val="24"/>
              </w:rPr>
              <w:t>M</w:t>
            </w:r>
            <w:r w:rsidR="00B72480">
              <w:rPr>
                <w:rFonts w:ascii="Times New Roman" w:hAnsi="Times New Roman" w:cs="Times New Roman"/>
                <w:sz w:val="24"/>
                <w:szCs w:val="24"/>
              </w:rPr>
              <w:t xml:space="preserve">. </w:t>
            </w:r>
            <w:proofErr w:type="spellStart"/>
            <w:r w:rsidR="00B72480">
              <w:rPr>
                <w:rFonts w:ascii="Times New Roman" w:hAnsi="Times New Roman" w:cs="Times New Roman"/>
                <w:sz w:val="24"/>
                <w:szCs w:val="24"/>
              </w:rPr>
              <w:t>Bussard</w:t>
            </w:r>
            <w:proofErr w:type="spellEnd"/>
            <w:r w:rsidR="00B72480">
              <w:rPr>
                <w:rFonts w:ascii="Times New Roman" w:hAnsi="Times New Roman" w:cs="Times New Roman"/>
                <w:sz w:val="24"/>
                <w:szCs w:val="24"/>
              </w:rPr>
              <w:t xml:space="preserve">, J. </w:t>
            </w:r>
            <w:proofErr w:type="spellStart"/>
            <w:r w:rsidR="00B72480">
              <w:rPr>
                <w:rFonts w:ascii="Times New Roman" w:hAnsi="Times New Roman" w:cs="Times New Roman"/>
                <w:sz w:val="24"/>
                <w:szCs w:val="24"/>
              </w:rPr>
              <w:t>Reising</w:t>
            </w:r>
            <w:proofErr w:type="spellEnd"/>
            <w:r w:rsidR="00B72480">
              <w:rPr>
                <w:rFonts w:ascii="Times New Roman" w:hAnsi="Times New Roman" w:cs="Times New Roman"/>
                <w:sz w:val="24"/>
                <w:szCs w:val="24"/>
              </w:rPr>
              <w:t xml:space="preserve">, </w:t>
            </w:r>
            <w:r w:rsidR="00B23536">
              <w:rPr>
                <w:rFonts w:ascii="Times New Roman" w:hAnsi="Times New Roman" w:cs="Times New Roman"/>
                <w:sz w:val="24"/>
                <w:szCs w:val="24"/>
              </w:rPr>
              <w:t xml:space="preserve">H. Myers, and </w:t>
            </w:r>
            <w:r w:rsidR="00B72480">
              <w:rPr>
                <w:rFonts w:ascii="Times New Roman" w:hAnsi="Times New Roman" w:cs="Times New Roman"/>
                <w:sz w:val="24"/>
                <w:szCs w:val="24"/>
              </w:rPr>
              <w:t xml:space="preserve">H. Harlan, </w:t>
            </w:r>
            <w:r w:rsidRPr="00B72480">
              <w:rPr>
                <w:rFonts w:ascii="Times New Roman" w:hAnsi="Times New Roman" w:cs="Times New Roman"/>
                <w:sz w:val="24"/>
                <w:szCs w:val="24"/>
              </w:rPr>
              <w:t>grant for technology</w:t>
            </w:r>
            <w:r w:rsidR="00B72480">
              <w:rPr>
                <w:rFonts w:ascii="Times New Roman" w:hAnsi="Times New Roman" w:cs="Times New Roman"/>
                <w:sz w:val="24"/>
                <w:szCs w:val="24"/>
              </w:rPr>
              <w:t xml:space="preserve"> in the </w:t>
            </w:r>
            <w:r w:rsidR="00B72480" w:rsidRPr="00B72480">
              <w:rPr>
                <w:rFonts w:ascii="Times New Roman" w:hAnsi="Times New Roman" w:cs="Times New Roman"/>
                <w:sz w:val="24"/>
                <w:szCs w:val="24"/>
              </w:rPr>
              <w:t>classrooms and LMS from the Ohio Board of Nursing.</w:t>
            </w:r>
          </w:p>
          <w:p w:rsidR="00753DD8" w:rsidRPr="00753DD8" w:rsidRDefault="00753DD8" w:rsidP="00CB5BF3">
            <w:pPr>
              <w:pStyle w:val="ListParagraph"/>
              <w:numPr>
                <w:ilvl w:val="0"/>
                <w:numId w:val="9"/>
              </w:num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Brunow</w:t>
            </w:r>
            <w:proofErr w:type="spellEnd"/>
            <w:r>
              <w:rPr>
                <w:rFonts w:ascii="Times New Roman" w:hAnsi="Times New Roman" w:cs="Times New Roman"/>
                <w:sz w:val="24"/>
                <w:szCs w:val="24"/>
              </w:rPr>
              <w:t xml:space="preserve"> </w:t>
            </w:r>
            <w:r w:rsidR="00CA321C">
              <w:rPr>
                <w:rFonts w:ascii="Times New Roman" w:hAnsi="Times New Roman" w:cs="Times New Roman"/>
                <w:sz w:val="24"/>
                <w:szCs w:val="24"/>
              </w:rPr>
              <w:t xml:space="preserve">received </w:t>
            </w:r>
            <w:r>
              <w:rPr>
                <w:rFonts w:ascii="Times New Roman" w:hAnsi="Times New Roman" w:cs="Times New Roman"/>
                <w:sz w:val="24"/>
                <w:szCs w:val="24"/>
              </w:rPr>
              <w:t>Excellence in</w:t>
            </w:r>
            <w:r w:rsidR="00CA321C">
              <w:rPr>
                <w:rFonts w:ascii="Times New Roman" w:hAnsi="Times New Roman" w:cs="Times New Roman"/>
                <w:sz w:val="24"/>
                <w:szCs w:val="24"/>
              </w:rPr>
              <w:t xml:space="preserve"> Nursing from OLN</w:t>
            </w:r>
            <w:proofErr w:type="gramStart"/>
            <w:r w:rsidR="00CA321C">
              <w:rPr>
                <w:rFonts w:ascii="Times New Roman" w:hAnsi="Times New Roman" w:cs="Times New Roman"/>
                <w:sz w:val="24"/>
                <w:szCs w:val="24"/>
              </w:rPr>
              <w:t xml:space="preserve">,  </w:t>
            </w:r>
            <w:r w:rsidRPr="00753DD8">
              <w:rPr>
                <w:rFonts w:ascii="Times New Roman" w:hAnsi="Times New Roman" w:cs="Times New Roman"/>
                <w:color w:val="FF0000"/>
                <w:sz w:val="24"/>
                <w:szCs w:val="24"/>
              </w:rPr>
              <w:t>…</w:t>
            </w:r>
            <w:proofErr w:type="gramEnd"/>
            <w:r w:rsidRPr="00753DD8">
              <w:rPr>
                <w:rFonts w:ascii="Times New Roman" w:hAnsi="Times New Roman" w:cs="Times New Roman"/>
                <w:color w:val="FF0000"/>
                <w:sz w:val="24"/>
                <w:szCs w:val="24"/>
              </w:rPr>
              <w:t>.</w:t>
            </w:r>
            <w:r>
              <w:rPr>
                <w:rFonts w:ascii="Times New Roman" w:hAnsi="Times New Roman" w:cs="Times New Roman"/>
                <w:color w:val="FF0000"/>
                <w:sz w:val="24"/>
                <w:szCs w:val="24"/>
              </w:rPr>
              <w:t>???</w:t>
            </w:r>
          </w:p>
          <w:p w:rsidR="00374EFD" w:rsidRPr="00B72480" w:rsidRDefault="00374EFD" w:rsidP="00CB5BF3">
            <w:pPr>
              <w:pStyle w:val="ListParagraph"/>
              <w:numPr>
                <w:ilvl w:val="0"/>
                <w:numId w:val="9"/>
              </w:numPr>
              <w:spacing w:after="0" w:line="240" w:lineRule="auto"/>
              <w:rPr>
                <w:rFonts w:ascii="Times New Roman" w:hAnsi="Times New Roman" w:cs="Times New Roman"/>
                <w:sz w:val="24"/>
                <w:szCs w:val="24"/>
              </w:rPr>
            </w:pPr>
            <w:r w:rsidRPr="00B72480">
              <w:rPr>
                <w:rFonts w:ascii="Times New Roman" w:hAnsi="Times New Roman" w:cs="Times New Roman"/>
                <w:sz w:val="24"/>
                <w:szCs w:val="24"/>
              </w:rPr>
              <w:t xml:space="preserve">H. Myers presented research study, </w:t>
            </w:r>
            <w:r w:rsidRPr="00B72480">
              <w:rPr>
                <w:rFonts w:ascii="Times New Roman" w:hAnsi="Times New Roman" w:cs="Times New Roman"/>
                <w:i/>
                <w:sz w:val="24"/>
                <w:szCs w:val="24"/>
              </w:rPr>
              <w:t>Perceived Stressors and Coping Methods of Senior Baccalaureate Nursing Students,</w:t>
            </w:r>
            <w:r w:rsidRPr="00B72480">
              <w:rPr>
                <w:rFonts w:ascii="Times New Roman" w:hAnsi="Times New Roman" w:cs="Times New Roman"/>
                <w:sz w:val="24"/>
                <w:szCs w:val="24"/>
              </w:rPr>
              <w:t xml:space="preserve"> at the Nursing Research Conference at Toledo University April 2011.  </w:t>
            </w:r>
          </w:p>
          <w:p w:rsidR="00945BEA" w:rsidRDefault="00945BEA" w:rsidP="00CB5BF3">
            <w:pPr>
              <w:numPr>
                <w:ilvl w:val="0"/>
                <w:numId w:val="6"/>
              </w:numPr>
              <w:rPr>
                <w:rFonts w:ascii="Times New Roman" w:hAnsi="Times New Roman"/>
                <w:sz w:val="24"/>
                <w:szCs w:val="24"/>
              </w:rPr>
            </w:pPr>
            <w:r w:rsidRPr="00B72480">
              <w:rPr>
                <w:rFonts w:ascii="Times New Roman" w:hAnsi="Times New Roman"/>
                <w:sz w:val="24"/>
                <w:szCs w:val="24"/>
              </w:rPr>
              <w:t xml:space="preserve">D. </w:t>
            </w:r>
            <w:proofErr w:type="spellStart"/>
            <w:r w:rsidRPr="00B72480">
              <w:rPr>
                <w:rFonts w:ascii="Times New Roman" w:hAnsi="Times New Roman"/>
                <w:sz w:val="24"/>
                <w:szCs w:val="24"/>
              </w:rPr>
              <w:t>Wikel</w:t>
            </w:r>
            <w:proofErr w:type="spellEnd"/>
            <w:r w:rsidRPr="00B72480">
              <w:rPr>
                <w:rFonts w:ascii="Times New Roman" w:hAnsi="Times New Roman"/>
                <w:sz w:val="24"/>
                <w:szCs w:val="24"/>
              </w:rPr>
              <w:t xml:space="preserve"> </w:t>
            </w:r>
            <w:proofErr w:type="gramStart"/>
            <w:r w:rsidRPr="00B72480">
              <w:rPr>
                <w:rFonts w:ascii="Times New Roman" w:hAnsi="Times New Roman"/>
                <w:sz w:val="24"/>
                <w:szCs w:val="24"/>
              </w:rPr>
              <w:t>presented</w:t>
            </w:r>
            <w:r w:rsidR="00753DD8">
              <w:rPr>
                <w:rFonts w:ascii="Times New Roman" w:hAnsi="Times New Roman"/>
                <w:color w:val="FF0000"/>
                <w:sz w:val="24"/>
                <w:szCs w:val="24"/>
              </w:rPr>
              <w:t xml:space="preserve"> ???</w:t>
            </w:r>
            <w:proofErr w:type="gramEnd"/>
          </w:p>
          <w:p w:rsidR="00B23536" w:rsidRPr="00B72480" w:rsidRDefault="00CB5BF3" w:rsidP="00CB5BF3">
            <w:pPr>
              <w:numPr>
                <w:ilvl w:val="0"/>
                <w:numId w:val="6"/>
              </w:numPr>
              <w:rPr>
                <w:rFonts w:ascii="Times New Roman" w:hAnsi="Times New Roman"/>
                <w:sz w:val="24"/>
                <w:szCs w:val="24"/>
              </w:rPr>
            </w:pPr>
            <w:r>
              <w:rPr>
                <w:rFonts w:ascii="Times New Roman" w:hAnsi="Times New Roman"/>
                <w:sz w:val="24"/>
                <w:szCs w:val="24"/>
              </w:rPr>
              <w:t>M</w:t>
            </w:r>
            <w:r w:rsidR="00B23536">
              <w:rPr>
                <w:rFonts w:ascii="Times New Roman" w:hAnsi="Times New Roman"/>
                <w:sz w:val="24"/>
                <w:szCs w:val="24"/>
              </w:rPr>
              <w:t xml:space="preserve">. </w:t>
            </w:r>
            <w:proofErr w:type="spellStart"/>
            <w:r w:rsidR="00B23536">
              <w:rPr>
                <w:rFonts w:ascii="Times New Roman" w:hAnsi="Times New Roman"/>
                <w:sz w:val="24"/>
                <w:szCs w:val="24"/>
              </w:rPr>
              <w:t>Bussard</w:t>
            </w:r>
            <w:proofErr w:type="spellEnd"/>
            <w:r w:rsidR="00B23536">
              <w:rPr>
                <w:rFonts w:ascii="Times New Roman" w:hAnsi="Times New Roman"/>
                <w:sz w:val="24"/>
                <w:szCs w:val="24"/>
              </w:rPr>
              <w:t xml:space="preserve"> research consisted of surveying senior nursing students to identify their simulation needs for psychiatric and critical care nursing.</w:t>
            </w:r>
          </w:p>
          <w:p w:rsidR="00B23536" w:rsidRDefault="00642A44" w:rsidP="00CB5BF3">
            <w:pPr>
              <w:pStyle w:val="ListParagraph"/>
              <w:numPr>
                <w:ilvl w:val="0"/>
                <w:numId w:val="6"/>
              </w:numPr>
              <w:tabs>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Wikel</w:t>
            </w:r>
            <w:proofErr w:type="spellEnd"/>
            <w:r w:rsidR="00B23536" w:rsidRPr="00B23536">
              <w:rPr>
                <w:rFonts w:ascii="Times New Roman" w:hAnsi="Times New Roman" w:cs="Times New Roman"/>
                <w:sz w:val="24"/>
                <w:szCs w:val="24"/>
              </w:rPr>
              <w:t xml:space="preserve"> was recognized in Ohio Magazine for Excellence in Nursing 12/201</w:t>
            </w:r>
            <w:r>
              <w:rPr>
                <w:rFonts w:ascii="Times New Roman" w:hAnsi="Times New Roman" w:cs="Times New Roman"/>
                <w:sz w:val="24"/>
                <w:szCs w:val="24"/>
              </w:rPr>
              <w:t xml:space="preserve">2, M. </w:t>
            </w:r>
            <w:proofErr w:type="spellStart"/>
            <w:r>
              <w:rPr>
                <w:rFonts w:ascii="Times New Roman" w:hAnsi="Times New Roman" w:cs="Times New Roman"/>
                <w:sz w:val="24"/>
                <w:szCs w:val="24"/>
              </w:rPr>
              <w:t>Bussard</w:t>
            </w:r>
            <w:proofErr w:type="spellEnd"/>
            <w:r w:rsidR="00B23536" w:rsidRPr="00B23536">
              <w:rPr>
                <w:rFonts w:ascii="Times New Roman" w:hAnsi="Times New Roman" w:cs="Times New Roman"/>
                <w:sz w:val="24"/>
                <w:szCs w:val="24"/>
              </w:rPr>
              <w:t xml:space="preserve"> </w:t>
            </w:r>
            <w:r w:rsidR="00B23536" w:rsidRPr="00B23536">
              <w:rPr>
                <w:rFonts w:ascii="Times New Roman" w:hAnsi="Times New Roman" w:cs="Times New Roman"/>
                <w:sz w:val="24"/>
                <w:szCs w:val="24"/>
              </w:rPr>
              <w:lastRenderedPageBreak/>
              <w:t>was recognized 12/201</w:t>
            </w: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and </w:t>
            </w:r>
            <w:r w:rsidR="00CB5BF3">
              <w:rPr>
                <w:rFonts w:ascii="Times New Roman" w:hAnsi="Times New Roman" w:cs="Times New Roman"/>
                <w:sz w:val="24"/>
                <w:szCs w:val="24"/>
              </w:rPr>
              <w:t xml:space="preserve"> J</w:t>
            </w:r>
            <w:proofErr w:type="gramEnd"/>
            <w:r w:rsidR="00CB5BF3">
              <w:rPr>
                <w:rFonts w:ascii="Times New Roman" w:hAnsi="Times New Roman" w:cs="Times New Roman"/>
                <w:sz w:val="24"/>
                <w:szCs w:val="24"/>
              </w:rPr>
              <w:t xml:space="preserve">. </w:t>
            </w:r>
            <w:proofErr w:type="spellStart"/>
            <w:r w:rsidR="00CB5BF3">
              <w:rPr>
                <w:rFonts w:ascii="Times New Roman" w:hAnsi="Times New Roman" w:cs="Times New Roman"/>
                <w:sz w:val="24"/>
                <w:szCs w:val="24"/>
              </w:rPr>
              <w:t>Reising</w:t>
            </w:r>
            <w:proofErr w:type="spellEnd"/>
            <w:r w:rsidR="00CB5BF3">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CB5BF3">
              <w:rPr>
                <w:rFonts w:ascii="Times New Roman" w:hAnsi="Times New Roman" w:cs="Times New Roman"/>
                <w:sz w:val="24"/>
                <w:szCs w:val="24"/>
              </w:rPr>
              <w:t xml:space="preserve">recognized in </w:t>
            </w:r>
            <w:r>
              <w:rPr>
                <w:rFonts w:ascii="Times New Roman" w:hAnsi="Times New Roman" w:cs="Times New Roman"/>
                <w:sz w:val="24"/>
                <w:szCs w:val="24"/>
              </w:rPr>
              <w:t>2006.</w:t>
            </w:r>
          </w:p>
          <w:p w:rsidR="00B72480" w:rsidRPr="00CA321C" w:rsidRDefault="00477E22" w:rsidP="00CB5BF3">
            <w:pPr>
              <w:pStyle w:val="ListParagraph"/>
              <w:numPr>
                <w:ilvl w:val="0"/>
                <w:numId w:val="6"/>
              </w:numPr>
              <w:tabs>
                <w:tab w:val="left" w:pos="720"/>
                <w:tab w:val="left" w:pos="2160"/>
              </w:tabs>
              <w:spacing w:after="0" w:line="240" w:lineRule="auto"/>
              <w:rPr>
                <w:rFonts w:ascii="Times New Roman" w:hAnsi="Times New Roman"/>
                <w:sz w:val="24"/>
                <w:szCs w:val="24"/>
              </w:rPr>
            </w:pPr>
            <w:r>
              <w:rPr>
                <w:rFonts w:ascii="Times New Roman" w:hAnsi="Times New Roman" w:cs="Times New Roman"/>
                <w:sz w:val="24"/>
                <w:szCs w:val="24"/>
              </w:rPr>
              <w:t>QSEN representatives</w:t>
            </w:r>
            <w:r w:rsidR="00CB5BF3">
              <w:rPr>
                <w:rFonts w:ascii="Times New Roman" w:hAnsi="Times New Roman" w:cs="Times New Roman"/>
                <w:sz w:val="24"/>
                <w:szCs w:val="24"/>
              </w:rPr>
              <w:t xml:space="preserve"> are B. </w:t>
            </w:r>
            <w:proofErr w:type="spellStart"/>
            <w:r w:rsidR="00CB5BF3">
              <w:rPr>
                <w:rFonts w:ascii="Times New Roman" w:hAnsi="Times New Roman" w:cs="Times New Roman"/>
                <w:sz w:val="24"/>
                <w:szCs w:val="24"/>
              </w:rPr>
              <w:t>Brunow</w:t>
            </w:r>
            <w:proofErr w:type="spellEnd"/>
            <w:r w:rsidR="00CB5BF3">
              <w:rPr>
                <w:rFonts w:ascii="Times New Roman" w:hAnsi="Times New Roman" w:cs="Times New Roman"/>
                <w:sz w:val="24"/>
                <w:szCs w:val="24"/>
              </w:rPr>
              <w:t xml:space="preserve"> and J. </w:t>
            </w:r>
            <w:proofErr w:type="spellStart"/>
            <w:r w:rsidR="00CB5BF3">
              <w:rPr>
                <w:rFonts w:ascii="Times New Roman" w:hAnsi="Times New Roman" w:cs="Times New Roman"/>
                <w:sz w:val="24"/>
                <w:szCs w:val="24"/>
              </w:rPr>
              <w:t>Reising</w:t>
            </w:r>
            <w:proofErr w:type="spellEnd"/>
          </w:p>
          <w:p w:rsidR="00CA321C" w:rsidRPr="00E669A4" w:rsidRDefault="00CA321C" w:rsidP="00CB5BF3">
            <w:pPr>
              <w:pStyle w:val="ListParagraph"/>
              <w:numPr>
                <w:ilvl w:val="0"/>
                <w:numId w:val="6"/>
              </w:numPr>
              <w:tabs>
                <w:tab w:val="left" w:pos="720"/>
                <w:tab w:val="left" w:pos="2160"/>
              </w:tabs>
              <w:spacing w:after="0" w:line="240" w:lineRule="auto"/>
              <w:rPr>
                <w:rFonts w:ascii="Times New Roman" w:hAnsi="Times New Roman"/>
                <w:sz w:val="24"/>
                <w:szCs w:val="24"/>
              </w:rPr>
            </w:pPr>
            <w:r>
              <w:rPr>
                <w:rFonts w:ascii="Times New Roman" w:hAnsi="Times New Roman"/>
                <w:sz w:val="24"/>
                <w:szCs w:val="24"/>
              </w:rPr>
              <w:t xml:space="preserve">J. </w:t>
            </w:r>
            <w:proofErr w:type="spellStart"/>
            <w:r>
              <w:rPr>
                <w:rFonts w:ascii="Times New Roman" w:hAnsi="Times New Roman"/>
                <w:sz w:val="24"/>
                <w:szCs w:val="24"/>
              </w:rPr>
              <w:t>Reising</w:t>
            </w:r>
            <w:proofErr w:type="spellEnd"/>
            <w:r>
              <w:rPr>
                <w:rFonts w:ascii="Times New Roman" w:hAnsi="Times New Roman"/>
                <w:sz w:val="24"/>
                <w:szCs w:val="24"/>
              </w:rPr>
              <w:t xml:space="preserve"> received Faculty Excellence Award for 2005-2006 from the National Coalition of Hospital Associated Schools and Colleges of Nursing. PA.</w:t>
            </w:r>
          </w:p>
        </w:tc>
      </w:tr>
    </w:tbl>
    <w:p w:rsidR="00F65BE3" w:rsidRDefault="00F65BE3" w:rsidP="00CB5BF3"/>
    <w:p w:rsidR="00425A8F" w:rsidRDefault="00425A8F" w:rsidP="00425A8F">
      <w:pPr>
        <w:spacing w:line="480" w:lineRule="auto"/>
        <w:rPr>
          <w:b/>
          <w:color w:val="FF0000"/>
        </w:rPr>
      </w:pPr>
      <w:r>
        <w:rPr>
          <w:b/>
        </w:rPr>
        <w:t xml:space="preserve">Criterion 2.6     </w:t>
      </w:r>
      <w:proofErr w:type="gramStart"/>
      <w:r>
        <w:rPr>
          <w:b/>
        </w:rPr>
        <w:t>The</w:t>
      </w:r>
      <w:proofErr w:type="gramEnd"/>
      <w:r>
        <w:rPr>
          <w:b/>
        </w:rPr>
        <w:t xml:space="preserve"> number, utilization, and credentials of non-nurse faculty and staff are sufficient to achieve the program goals and outcomes.</w:t>
      </w:r>
      <w:r w:rsidR="00215FBC">
        <w:rPr>
          <w:b/>
        </w:rPr>
        <w:t xml:space="preserve">  </w:t>
      </w:r>
      <w:r w:rsidR="00215FBC">
        <w:rPr>
          <w:b/>
          <w:color w:val="FF0000"/>
        </w:rPr>
        <w:t>Dawn</w:t>
      </w:r>
    </w:p>
    <w:p w:rsidR="00A64B57" w:rsidRDefault="00A64B57" w:rsidP="000E2921">
      <w:pPr>
        <w:spacing w:line="480" w:lineRule="auto"/>
        <w:ind w:firstLine="720"/>
        <w:rPr>
          <w:b/>
        </w:rPr>
      </w:pPr>
      <w:r>
        <w:t xml:space="preserve">The non-nurse faculty and staff include: Diane Fitzthum (Administrative Secretary), Dottie Girard (Registrar/Bursar), Holly Harlan (Learning Resource Coordinator), Sandy </w:t>
      </w:r>
      <w:proofErr w:type="spellStart"/>
      <w:r>
        <w:t>Timple</w:t>
      </w:r>
      <w:proofErr w:type="spellEnd"/>
      <w:r>
        <w:t xml:space="preserve"> (Financial Coordinator), Barbara Reitz (Clerk/Receptionist), and Mary Daniel (Financial Aid Specialist).  The previous administrative secretary and clerk/receptionist were replaced by Diane Fitzthum in 2010 and Barbara Reitz in 2011.  Since then, 100% of all faculty and staff rate the administrative and clerical support as “excellent” to achieve the program goals and outcomes.  Comments from faculty and staff include: “everyone in these positions work very hard to be effective and efficient to meet the needs of the students and their families”, “always willing to assist faculty above and beyond”, and “speed and accuracy is wonderful”.</w:t>
      </w:r>
    </w:p>
    <w:p w:rsidR="00215FBC" w:rsidRDefault="00425A8F" w:rsidP="00425A8F">
      <w:pPr>
        <w:spacing w:line="480" w:lineRule="auto"/>
        <w:rPr>
          <w:b/>
          <w:color w:val="FF0000"/>
        </w:rPr>
      </w:pPr>
      <w:r>
        <w:rPr>
          <w:b/>
        </w:rPr>
        <w:t xml:space="preserve">Criterion 2.7     Faculty (full- and part-time) </w:t>
      </w:r>
      <w:r w:rsidR="00215FBC">
        <w:rPr>
          <w:b/>
        </w:rPr>
        <w:t xml:space="preserve">are oriented and mentored in their areas of responsibilities.  </w:t>
      </w:r>
      <w:r w:rsidR="00215FBC">
        <w:rPr>
          <w:b/>
          <w:color w:val="FF0000"/>
        </w:rPr>
        <w:t>Therese</w:t>
      </w:r>
    </w:p>
    <w:p w:rsidR="00911B93" w:rsidRDefault="00911B93" w:rsidP="00911B93">
      <w:pPr>
        <w:spacing w:line="480" w:lineRule="auto"/>
        <w:ind w:firstLine="720"/>
      </w:pPr>
      <w:r>
        <w:t xml:space="preserve">The </w:t>
      </w:r>
      <w:r w:rsidR="00BB1862">
        <w:t>school d</w:t>
      </w:r>
      <w:r>
        <w:t>irector</w:t>
      </w:r>
      <w:r w:rsidR="005B0CFB">
        <w:t xml:space="preserve"> and/or chair of the Faculty Development Committee </w:t>
      </w:r>
      <w:r w:rsidR="001C68E2">
        <w:t>assign</w:t>
      </w:r>
      <w:r>
        <w:t xml:space="preserve"> a mentor to all new faculty members (full- and part-time). </w:t>
      </w:r>
      <w:r w:rsidR="005B0CFB">
        <w:t xml:space="preserve">Currently new hires participate in </w:t>
      </w:r>
      <w:r>
        <w:t>a</w:t>
      </w:r>
      <w:r w:rsidR="005B0CFB">
        <w:t xml:space="preserve"> planned </w:t>
      </w:r>
      <w:r>
        <w:t xml:space="preserve">orientation </w:t>
      </w:r>
      <w:r w:rsidR="00753DD8">
        <w:t>p</w:t>
      </w:r>
      <w:r w:rsidR="005B0CFB">
        <w:t>rogram</w:t>
      </w:r>
      <w:r w:rsidR="00753DD8">
        <w:t xml:space="preserve"> </w:t>
      </w:r>
      <w:r w:rsidR="005B0CFB">
        <w:t>established at the school</w:t>
      </w:r>
      <w:r w:rsidR="001C68E2">
        <w:t>.</w:t>
      </w:r>
      <w:r w:rsidR="005B0CFB">
        <w:t xml:space="preserve">  The initial </w:t>
      </w:r>
      <w:r w:rsidR="001C68E2">
        <w:t>O</w:t>
      </w:r>
      <w:r w:rsidR="005B0CFB">
        <w:t xml:space="preserve">rientation </w:t>
      </w:r>
      <w:r w:rsidR="001C68E2">
        <w:t>P</w:t>
      </w:r>
      <w:r w:rsidR="005B0CFB">
        <w:t xml:space="preserve">lan is to be completed within 30 days of hire and turned in to the school director along with the orientation evaluation. The faculty’s mentor facilitates completion of the Orientation Plan. </w:t>
      </w:r>
      <w:r>
        <w:t xml:space="preserve"> </w:t>
      </w:r>
      <w:r w:rsidR="001C68E2">
        <w:t>A second orientation document, Faculty Orientation with Mentor, is to be completed with assigned mentor</w:t>
      </w:r>
      <w:r w:rsidR="000E2921">
        <w:t>(s)</w:t>
      </w:r>
      <w:r w:rsidR="001C68E2">
        <w:t xml:space="preserve"> and other faculty throughout the first year of employment at the school.  The purpose of this </w:t>
      </w:r>
      <w:r w:rsidR="001C68E2">
        <w:lastRenderedPageBreak/>
        <w:t xml:space="preserve">document is to continue mentoring the new faculty member </w:t>
      </w:r>
      <w:r w:rsidR="00A8096A">
        <w:t xml:space="preserve">as they transition </w:t>
      </w:r>
      <w:r w:rsidR="001C68E2">
        <w:t xml:space="preserve">into their </w:t>
      </w:r>
      <w:r w:rsidR="00A8096A">
        <w:t xml:space="preserve">new </w:t>
      </w:r>
      <w:r w:rsidR="001C68E2">
        <w:t xml:space="preserve">role for the first year from hire.  </w:t>
      </w:r>
    </w:p>
    <w:p w:rsidR="00911B93" w:rsidRDefault="00911B93" w:rsidP="00911B93">
      <w:pPr>
        <w:spacing w:line="480" w:lineRule="auto"/>
        <w:ind w:firstLine="720"/>
      </w:pPr>
      <w:r>
        <w:t xml:space="preserve">The orientation process is evaluated annually and trended every three years. Changes to the orientation process are made based upon the data collected from the evaluation received from the new faculty (full- and part-time). </w:t>
      </w:r>
    </w:p>
    <w:p w:rsidR="00911B93" w:rsidRDefault="00911B93" w:rsidP="00911B93">
      <w:pPr>
        <w:spacing w:line="480" w:lineRule="auto"/>
        <w:ind w:firstLine="720"/>
      </w:pPr>
      <w:r>
        <w:t xml:space="preserve">The Orientation Plan is available for review onsite in the Faculty Manual. The purpose of the Orientation Plan is to orient the faculty of FRMCSN to function effectively according to the individual’s job description. The Orientation Plan orients the new hire to the FRMC and the FRMCSN organizational structure. The Orientation Plan for faculty orients the new hire to the curriculum, educational facilities and resources, Policies for Faculty Members and Faculty Organization Regulations. Policies concerning students are also reviewed. The Orientation Plans for all faculty and staff (full- and part-time) is kept on file in the faculty member’s file in the Director’s office. </w:t>
      </w:r>
    </w:p>
    <w:p w:rsidR="00911B93" w:rsidRPr="001D673E" w:rsidRDefault="00911B93" w:rsidP="009C1608">
      <w:r>
        <w:t>Orientation Plan Outcomes</w:t>
      </w:r>
      <w:r w:rsidR="009C1608">
        <w:t xml:space="preserve"> for new faculty are</w:t>
      </w:r>
      <w:r>
        <w:t>:</w:t>
      </w:r>
    </w:p>
    <w:p w:rsidR="00911B93" w:rsidRPr="00584654" w:rsidRDefault="00911B93" w:rsidP="00911B93">
      <w:pPr>
        <w:pStyle w:val="ListParagraph"/>
        <w:numPr>
          <w:ilvl w:val="0"/>
          <w:numId w:val="5"/>
        </w:numPr>
        <w:spacing w:after="0" w:line="240" w:lineRule="auto"/>
        <w:rPr>
          <w:rFonts w:ascii="Times New Roman" w:eastAsia="Calibri" w:hAnsi="Times New Roman" w:cs="Times New Roman"/>
          <w:sz w:val="24"/>
          <w:szCs w:val="24"/>
        </w:rPr>
      </w:pPr>
      <w:r w:rsidRPr="00584654">
        <w:rPr>
          <w:rFonts w:ascii="Times New Roman" w:eastAsia="Calibri" w:hAnsi="Times New Roman" w:cs="Times New Roman"/>
          <w:sz w:val="24"/>
          <w:szCs w:val="24"/>
        </w:rPr>
        <w:t xml:space="preserve">Describe </w:t>
      </w:r>
      <w:proofErr w:type="spellStart"/>
      <w:r w:rsidRPr="00584654">
        <w:rPr>
          <w:rFonts w:ascii="Times New Roman" w:eastAsia="Calibri" w:hAnsi="Times New Roman" w:cs="Times New Roman"/>
          <w:sz w:val="24"/>
          <w:szCs w:val="24"/>
        </w:rPr>
        <w:t>Firelands</w:t>
      </w:r>
      <w:proofErr w:type="spellEnd"/>
      <w:r w:rsidRPr="00584654">
        <w:rPr>
          <w:rFonts w:ascii="Times New Roman" w:eastAsia="Calibri" w:hAnsi="Times New Roman" w:cs="Times New Roman"/>
          <w:sz w:val="24"/>
          <w:szCs w:val="24"/>
        </w:rPr>
        <w:t xml:space="preserve"> Regional Medical Center’s Vision, Mission and Organizational Structure.</w:t>
      </w:r>
    </w:p>
    <w:p w:rsidR="00911B93" w:rsidRPr="00584654" w:rsidRDefault="00911B93" w:rsidP="00911B93">
      <w:pPr>
        <w:pStyle w:val="ListParagraph"/>
        <w:numPr>
          <w:ilvl w:val="0"/>
          <w:numId w:val="5"/>
        </w:numPr>
        <w:spacing w:after="0" w:line="240" w:lineRule="auto"/>
        <w:rPr>
          <w:rFonts w:ascii="Times New Roman" w:eastAsia="Calibri" w:hAnsi="Times New Roman" w:cs="Times New Roman"/>
          <w:sz w:val="24"/>
          <w:szCs w:val="24"/>
        </w:rPr>
      </w:pPr>
      <w:r w:rsidRPr="00584654">
        <w:rPr>
          <w:rFonts w:ascii="Times New Roman" w:eastAsia="Calibri" w:hAnsi="Times New Roman" w:cs="Times New Roman"/>
          <w:sz w:val="24"/>
          <w:szCs w:val="24"/>
        </w:rPr>
        <w:t xml:space="preserve">Examine the Philosophy and Organizational Structure of </w:t>
      </w:r>
      <w:proofErr w:type="spellStart"/>
      <w:r w:rsidRPr="00584654">
        <w:rPr>
          <w:rFonts w:ascii="Times New Roman" w:eastAsia="Calibri" w:hAnsi="Times New Roman" w:cs="Times New Roman"/>
          <w:sz w:val="24"/>
          <w:szCs w:val="24"/>
        </w:rPr>
        <w:t>Firelands</w:t>
      </w:r>
      <w:proofErr w:type="spellEnd"/>
      <w:r w:rsidRPr="00584654">
        <w:rPr>
          <w:rFonts w:ascii="Times New Roman" w:eastAsia="Calibri" w:hAnsi="Times New Roman" w:cs="Times New Roman"/>
          <w:sz w:val="24"/>
          <w:szCs w:val="24"/>
        </w:rPr>
        <w:t xml:space="preserve"> Regional Medical Center School of Nursing.</w:t>
      </w:r>
    </w:p>
    <w:p w:rsidR="00911B93" w:rsidRPr="00584654" w:rsidRDefault="00911B93" w:rsidP="00911B93">
      <w:pPr>
        <w:pStyle w:val="ListParagraph"/>
        <w:numPr>
          <w:ilvl w:val="0"/>
          <w:numId w:val="5"/>
        </w:numPr>
        <w:spacing w:after="0" w:line="240" w:lineRule="auto"/>
        <w:rPr>
          <w:rFonts w:ascii="Times New Roman" w:eastAsia="Calibri" w:hAnsi="Times New Roman" w:cs="Times New Roman"/>
          <w:sz w:val="24"/>
          <w:szCs w:val="24"/>
        </w:rPr>
      </w:pPr>
      <w:r w:rsidRPr="00584654">
        <w:rPr>
          <w:rFonts w:ascii="Times New Roman" w:eastAsia="Calibri" w:hAnsi="Times New Roman" w:cs="Times New Roman"/>
          <w:sz w:val="24"/>
          <w:szCs w:val="24"/>
        </w:rPr>
        <w:t>Describe the development, organizational plan, implementation an</w:t>
      </w:r>
      <w:r w:rsidRPr="00584654">
        <w:rPr>
          <w:rFonts w:ascii="Times New Roman" w:hAnsi="Times New Roman"/>
          <w:sz w:val="24"/>
          <w:szCs w:val="24"/>
        </w:rPr>
        <w:t>d evaluation of the curriculum.</w:t>
      </w:r>
    </w:p>
    <w:p w:rsidR="00911B93" w:rsidRPr="00584654" w:rsidRDefault="00911B93" w:rsidP="00911B93">
      <w:pPr>
        <w:pStyle w:val="ListParagraph"/>
        <w:numPr>
          <w:ilvl w:val="0"/>
          <w:numId w:val="5"/>
        </w:numPr>
        <w:spacing w:after="0" w:line="240" w:lineRule="auto"/>
        <w:rPr>
          <w:rFonts w:ascii="Times New Roman" w:eastAsia="Calibri" w:hAnsi="Times New Roman" w:cs="Times New Roman"/>
          <w:sz w:val="24"/>
          <w:szCs w:val="24"/>
        </w:rPr>
      </w:pPr>
      <w:r w:rsidRPr="00584654">
        <w:rPr>
          <w:rFonts w:ascii="Times New Roman" w:eastAsia="Calibri" w:hAnsi="Times New Roman" w:cs="Times New Roman"/>
          <w:sz w:val="24"/>
          <w:szCs w:val="24"/>
        </w:rPr>
        <w:t xml:space="preserve">Discuss the educational facilities and resources utilized </w:t>
      </w:r>
      <w:r w:rsidRPr="00584654">
        <w:rPr>
          <w:rFonts w:ascii="Times New Roman" w:hAnsi="Times New Roman"/>
          <w:sz w:val="24"/>
          <w:szCs w:val="24"/>
        </w:rPr>
        <w:t>in implementing the curriculum.</w:t>
      </w:r>
    </w:p>
    <w:p w:rsidR="00911B93" w:rsidRPr="00584654" w:rsidRDefault="00911B93" w:rsidP="00911B93">
      <w:pPr>
        <w:pStyle w:val="ListParagraph"/>
        <w:numPr>
          <w:ilvl w:val="0"/>
          <w:numId w:val="5"/>
        </w:numPr>
        <w:spacing w:after="0" w:line="240" w:lineRule="auto"/>
        <w:rPr>
          <w:rFonts w:ascii="Times New Roman" w:eastAsia="Calibri" w:hAnsi="Times New Roman" w:cs="Times New Roman"/>
          <w:sz w:val="24"/>
          <w:szCs w:val="24"/>
        </w:rPr>
      </w:pPr>
      <w:r w:rsidRPr="00584654">
        <w:rPr>
          <w:rFonts w:ascii="Times New Roman" w:eastAsia="Calibri" w:hAnsi="Times New Roman" w:cs="Times New Roman"/>
          <w:sz w:val="24"/>
          <w:szCs w:val="24"/>
        </w:rPr>
        <w:t>Discuss the Personnel Policies for Faculty Members and the Fa</w:t>
      </w:r>
      <w:r w:rsidRPr="00584654">
        <w:rPr>
          <w:rFonts w:ascii="Times New Roman" w:hAnsi="Times New Roman"/>
          <w:sz w:val="24"/>
          <w:szCs w:val="24"/>
        </w:rPr>
        <w:t>culty Organization Regulations.</w:t>
      </w:r>
    </w:p>
    <w:p w:rsidR="00911B93" w:rsidRPr="00584654" w:rsidRDefault="00911B93" w:rsidP="00911B93">
      <w:pPr>
        <w:pStyle w:val="ListParagraph"/>
        <w:numPr>
          <w:ilvl w:val="0"/>
          <w:numId w:val="5"/>
        </w:numPr>
        <w:spacing w:after="0" w:line="240" w:lineRule="auto"/>
        <w:rPr>
          <w:rFonts w:ascii="Times New Roman" w:hAnsi="Times New Roman"/>
          <w:sz w:val="24"/>
          <w:szCs w:val="24"/>
        </w:rPr>
      </w:pPr>
      <w:r w:rsidRPr="00584654">
        <w:rPr>
          <w:rFonts w:ascii="Times New Roman" w:eastAsia="Calibri" w:hAnsi="Times New Roman" w:cs="Times New Roman"/>
          <w:sz w:val="24"/>
          <w:szCs w:val="24"/>
        </w:rPr>
        <w:t>Review policies concerning students.</w:t>
      </w:r>
    </w:p>
    <w:p w:rsidR="00911B93" w:rsidRPr="001D673E" w:rsidRDefault="00911B93" w:rsidP="00911B93">
      <w:pPr>
        <w:ind w:left="360"/>
      </w:pPr>
    </w:p>
    <w:p w:rsidR="009C1608" w:rsidRDefault="00911B93" w:rsidP="009C1608">
      <w:pPr>
        <w:spacing w:line="480" w:lineRule="auto"/>
        <w:ind w:firstLine="720"/>
      </w:pPr>
      <w:r>
        <w:t>The Orientation Policy</w:t>
      </w:r>
      <w:r w:rsidR="004A7437">
        <w:t>, Orientation</w:t>
      </w:r>
      <w:r>
        <w:t xml:space="preserve"> Plan are reviewed annually by the Faculty Development Committee with revisions taken to the Faculty Committee for final approval. </w:t>
      </w:r>
      <w:r w:rsidR="009C1608">
        <w:t xml:space="preserve">The orientation process is evaluated annually and trended every three years. Changes to the </w:t>
      </w:r>
      <w:r w:rsidR="009C1608">
        <w:lastRenderedPageBreak/>
        <w:t xml:space="preserve">orientation process are made based upon the data collected from the evaluation received from the new faculty (full- and part-time). </w:t>
      </w:r>
    </w:p>
    <w:p w:rsidR="00911B93" w:rsidRDefault="00A8096A" w:rsidP="00911B93">
      <w:pPr>
        <w:spacing w:line="480" w:lineRule="auto"/>
        <w:ind w:firstLine="720"/>
      </w:pPr>
      <w:r>
        <w:t>The</w:t>
      </w:r>
      <w:r w:rsidR="00911B93">
        <w:t xml:space="preserve"> Faculty Orientation with Mentor </w:t>
      </w:r>
      <w:r>
        <w:t xml:space="preserve">orientation </w:t>
      </w:r>
      <w:r w:rsidR="00CC453A">
        <w:t xml:space="preserve">checklist </w:t>
      </w:r>
      <w:r>
        <w:t>document was developed</w:t>
      </w:r>
      <w:r w:rsidR="00CC453A">
        <w:t xml:space="preserve"> after feedback from a work group </w:t>
      </w:r>
      <w:r w:rsidR="009C1608">
        <w:t xml:space="preserve">of newer faculty </w:t>
      </w:r>
      <w:r w:rsidR="00CC453A">
        <w:t xml:space="preserve">addressing the orientation process at the school.  During the </w:t>
      </w:r>
      <w:proofErr w:type="gramStart"/>
      <w:r w:rsidR="00CC453A">
        <w:t>Fall</w:t>
      </w:r>
      <w:proofErr w:type="gramEnd"/>
      <w:r w:rsidR="00CC453A">
        <w:t xml:space="preserve"> semester of 2011, the work group met to brainstorm problems, needs, and solutions of new part-time faculty transitioning to their faculty position and also from part-time to full-time. </w:t>
      </w:r>
      <w:r w:rsidR="00911B93">
        <w:t>The checklist outcomes were developed using the NLN Core Competencies of Nurse Educators</w:t>
      </w:r>
      <w:r w:rsidR="00CC453A">
        <w:t xml:space="preserve"> and </w:t>
      </w:r>
      <w:r w:rsidR="00AE2577">
        <w:t>supported by various school policies and documents from the policy book and Faculty Manual. T</w:t>
      </w:r>
      <w:r w:rsidR="00911B93">
        <w:t xml:space="preserve">he Faculty Orientation with Mentor </w:t>
      </w:r>
      <w:r w:rsidR="009C1608">
        <w:t>d</w:t>
      </w:r>
      <w:r w:rsidR="00911B93">
        <w:t xml:space="preserve">ocument can be found onsite in the Faculty Manual. The </w:t>
      </w:r>
      <w:r w:rsidR="00AE2577">
        <w:t xml:space="preserve">orientation documents and evaluations </w:t>
      </w:r>
      <w:r w:rsidR="00911B93">
        <w:t xml:space="preserve">for all faculty and staff (full- and part-time) </w:t>
      </w:r>
      <w:proofErr w:type="gramStart"/>
      <w:r w:rsidR="00911B93">
        <w:t>is</w:t>
      </w:r>
      <w:proofErr w:type="gramEnd"/>
      <w:r w:rsidR="00911B93">
        <w:t xml:space="preserve"> kept on file in the faculty member’s file in the Director’s office. </w:t>
      </w:r>
    </w:p>
    <w:p w:rsidR="00911B93" w:rsidRDefault="00A8096A" w:rsidP="00911B93">
      <w:pPr>
        <w:spacing w:line="480" w:lineRule="auto"/>
      </w:pPr>
      <w:r>
        <w:t xml:space="preserve">Faculty Orientation with Mentor </w:t>
      </w:r>
      <w:r w:rsidR="00911B93">
        <w:t>Outcomes</w:t>
      </w:r>
      <w:r w:rsidR="009C1608">
        <w:t xml:space="preserve"> </w:t>
      </w:r>
      <w:proofErr w:type="gramStart"/>
      <w:r w:rsidR="009C1608">
        <w:t>are</w:t>
      </w:r>
      <w:proofErr w:type="gramEnd"/>
      <w:r w:rsidR="00911B93">
        <w:t>:</w:t>
      </w:r>
    </w:p>
    <w:tbl>
      <w:tblPr>
        <w:tblW w:w="0" w:type="auto"/>
        <w:tblLook w:val="04A0"/>
      </w:tblPr>
      <w:tblGrid>
        <w:gridCol w:w="9576"/>
      </w:tblGrid>
      <w:tr w:rsidR="00911B93" w:rsidRPr="00907BCC" w:rsidTr="00E669A4">
        <w:tc>
          <w:tcPr>
            <w:tcW w:w="0" w:type="auto"/>
          </w:tcPr>
          <w:p w:rsidR="00911B93" w:rsidRPr="001D673E" w:rsidRDefault="00911B93" w:rsidP="00911B93">
            <w:pPr>
              <w:numPr>
                <w:ilvl w:val="0"/>
                <w:numId w:val="4"/>
              </w:numPr>
              <w:ind w:left="720"/>
            </w:pPr>
            <w:r w:rsidRPr="001D673E">
              <w:t>Create an environment in classroom, laboratory, and clinical settings that facilitates student learning and the achievement of desired cognitive, affective, and psychomotor outcomes.</w:t>
            </w:r>
          </w:p>
        </w:tc>
      </w:tr>
      <w:tr w:rsidR="00911B93" w:rsidRPr="00907BCC" w:rsidTr="00E66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Borders>
              <w:top w:val="nil"/>
              <w:left w:val="nil"/>
              <w:bottom w:val="nil"/>
              <w:right w:val="nil"/>
            </w:tcBorders>
          </w:tcPr>
          <w:p w:rsidR="00911B93" w:rsidRPr="001D673E" w:rsidRDefault="00911B93" w:rsidP="00911B93">
            <w:pPr>
              <w:numPr>
                <w:ilvl w:val="0"/>
                <w:numId w:val="4"/>
              </w:numPr>
              <w:ind w:left="720"/>
            </w:pPr>
            <w:r w:rsidRPr="001D673E">
              <w:t>Recognize their responsibility for helping students develop as nurses and integrate the values and behaviors expected of those who fulfill that role.</w:t>
            </w:r>
          </w:p>
        </w:tc>
      </w:tr>
      <w:tr w:rsidR="00911B93" w:rsidRPr="00907BCC" w:rsidTr="00E669A4">
        <w:tc>
          <w:tcPr>
            <w:tcW w:w="0" w:type="auto"/>
          </w:tcPr>
          <w:p w:rsidR="00911B93" w:rsidRPr="001D673E" w:rsidRDefault="00911B93" w:rsidP="00911B93">
            <w:pPr>
              <w:numPr>
                <w:ilvl w:val="0"/>
                <w:numId w:val="4"/>
              </w:numPr>
              <w:ind w:left="720"/>
            </w:pPr>
            <w:r w:rsidRPr="001D673E">
              <w:t>Use a variety of strategies to assess and evaluate student learning in classroom, laboratory, and clinical settings as well as in all domains of learning.</w:t>
            </w:r>
          </w:p>
        </w:tc>
      </w:tr>
      <w:tr w:rsidR="00911B93" w:rsidRPr="00907BCC" w:rsidTr="00E669A4">
        <w:tc>
          <w:tcPr>
            <w:tcW w:w="0" w:type="auto"/>
          </w:tcPr>
          <w:p w:rsidR="00911B93" w:rsidRPr="001D673E" w:rsidRDefault="00911B93" w:rsidP="00911B93">
            <w:pPr>
              <w:numPr>
                <w:ilvl w:val="0"/>
                <w:numId w:val="4"/>
              </w:numPr>
              <w:ind w:left="720"/>
            </w:pPr>
            <w:r w:rsidRPr="001D673E">
              <w:t>Participate in curriculum design and evaluation of program outcomes.</w:t>
            </w:r>
          </w:p>
        </w:tc>
      </w:tr>
      <w:tr w:rsidR="00911B93" w:rsidRPr="00907BCC" w:rsidTr="00E669A4">
        <w:tc>
          <w:tcPr>
            <w:tcW w:w="0" w:type="auto"/>
          </w:tcPr>
          <w:p w:rsidR="00911B93" w:rsidRPr="001D673E" w:rsidRDefault="00911B93" w:rsidP="00911B93">
            <w:pPr>
              <w:numPr>
                <w:ilvl w:val="0"/>
                <w:numId w:val="4"/>
              </w:numPr>
              <w:ind w:left="720"/>
            </w:pPr>
            <w:r w:rsidRPr="001D673E">
              <w:t>Function as a change agent and leader to create a preferred future for nursing education and nursing practice.</w:t>
            </w:r>
          </w:p>
        </w:tc>
      </w:tr>
      <w:tr w:rsidR="00911B93" w:rsidRPr="00907BCC" w:rsidTr="00E669A4">
        <w:tc>
          <w:tcPr>
            <w:tcW w:w="0" w:type="auto"/>
          </w:tcPr>
          <w:p w:rsidR="00911B93" w:rsidRPr="001D673E" w:rsidRDefault="00911B93" w:rsidP="00911B93">
            <w:pPr>
              <w:numPr>
                <w:ilvl w:val="0"/>
                <w:numId w:val="4"/>
              </w:numPr>
              <w:ind w:left="720"/>
            </w:pPr>
            <w:r w:rsidRPr="001D673E">
              <w:t>Pursue continuous quality improvement in the nurse educator role.</w:t>
            </w:r>
          </w:p>
          <w:p w:rsidR="00911B93" w:rsidRPr="001D673E" w:rsidRDefault="00911B93" w:rsidP="00911B93">
            <w:pPr>
              <w:numPr>
                <w:ilvl w:val="0"/>
                <w:numId w:val="4"/>
              </w:numPr>
              <w:ind w:left="720"/>
            </w:pPr>
            <w:r w:rsidRPr="001D673E">
              <w:t>Engage in scholarship.</w:t>
            </w:r>
          </w:p>
        </w:tc>
      </w:tr>
      <w:tr w:rsidR="00911B93" w:rsidRPr="00907BCC" w:rsidTr="00E669A4">
        <w:tc>
          <w:tcPr>
            <w:tcW w:w="0" w:type="auto"/>
          </w:tcPr>
          <w:p w:rsidR="00911B93" w:rsidRPr="001D673E" w:rsidRDefault="00911B93" w:rsidP="00313FBA">
            <w:pPr>
              <w:numPr>
                <w:ilvl w:val="0"/>
                <w:numId w:val="4"/>
              </w:numPr>
              <w:ind w:left="720"/>
            </w:pPr>
            <w:r w:rsidRPr="001D673E">
              <w:t>Exhibit knowledge about the educational environment in which they practice and recognize how political, institutional, social and economic forces impact their role.  (from the NLN Core Competencies of Nurse Educators)</w:t>
            </w:r>
          </w:p>
        </w:tc>
      </w:tr>
    </w:tbl>
    <w:p w:rsidR="00313FBA" w:rsidRDefault="00313FBA" w:rsidP="00313FBA">
      <w:pPr>
        <w:ind w:firstLine="720"/>
      </w:pPr>
    </w:p>
    <w:p w:rsidR="009C1608" w:rsidRDefault="009C1608" w:rsidP="00313FBA">
      <w:pPr>
        <w:spacing w:line="480" w:lineRule="auto"/>
        <w:ind w:firstLine="720"/>
      </w:pPr>
      <w:r>
        <w:t xml:space="preserve">The orientation process is evaluated annually and trended every three years. Changes to the orientation process are made based upon the data collected from the evaluation received from the new faculty (full- and part-time). </w:t>
      </w:r>
    </w:p>
    <w:p w:rsidR="00215FBC" w:rsidRDefault="00737168" w:rsidP="00425A8F">
      <w:pPr>
        <w:spacing w:line="480" w:lineRule="auto"/>
        <w:rPr>
          <w:b/>
        </w:rPr>
      </w:pPr>
      <w:r>
        <w:rPr>
          <w:color w:val="FF0000"/>
        </w:rPr>
        <w:lastRenderedPageBreak/>
        <w:t xml:space="preserve"> </w:t>
      </w:r>
      <w:r w:rsidR="00425A8F">
        <w:rPr>
          <w:b/>
        </w:rPr>
        <w:t xml:space="preserve">Criterion 2.8     </w:t>
      </w:r>
      <w:r w:rsidR="00215FBC">
        <w:rPr>
          <w:b/>
        </w:rPr>
        <w:t xml:space="preserve">Systematic assessment of faculty </w:t>
      </w:r>
      <w:r w:rsidR="00425A8F">
        <w:rPr>
          <w:b/>
        </w:rPr>
        <w:t xml:space="preserve">(full- and part-time) </w:t>
      </w:r>
      <w:r w:rsidR="00215FBC">
        <w:rPr>
          <w:b/>
        </w:rPr>
        <w:t xml:space="preserve">performance demonstrates competencies that are consistent with program goals and outcomes.  </w:t>
      </w:r>
      <w:r w:rsidR="00215FBC">
        <w:rPr>
          <w:b/>
          <w:color w:val="FF0000"/>
        </w:rPr>
        <w:t>Barb</w:t>
      </w:r>
      <w:r w:rsidR="00425A8F" w:rsidRPr="00425A8F">
        <w:rPr>
          <w:b/>
        </w:rPr>
        <w:t xml:space="preserve"> </w:t>
      </w:r>
    </w:p>
    <w:p w:rsidR="00A64B57" w:rsidRDefault="00A64B57" w:rsidP="00B411DC">
      <w:pPr>
        <w:spacing w:line="480" w:lineRule="auto"/>
        <w:ind w:firstLine="720"/>
      </w:pPr>
      <w:r>
        <w:t>Faculty members are evaluated annually by the director of the school of nursing. Feedback from student evaluations, peer evaluations and self-evaluations may be included in the formulation of the performance appraisals. 100% of faculty were evaluated and demonstrate evidence of proficiency in core, education</w:t>
      </w:r>
      <w:r w:rsidR="00AE2577">
        <w:t>,</w:t>
      </w:r>
      <w:r>
        <w:t xml:space="preserve"> and department competencies.</w:t>
      </w:r>
    </w:p>
    <w:p w:rsidR="00A64B57" w:rsidRDefault="00A64B57" w:rsidP="00A64B57"/>
    <w:tbl>
      <w:tblPr>
        <w:tblStyle w:val="TableGrid"/>
        <w:tblW w:w="0" w:type="auto"/>
        <w:tblLook w:val="04A0"/>
      </w:tblPr>
      <w:tblGrid>
        <w:gridCol w:w="2604"/>
        <w:gridCol w:w="2048"/>
        <w:gridCol w:w="1625"/>
        <w:gridCol w:w="1656"/>
        <w:gridCol w:w="1643"/>
      </w:tblGrid>
      <w:tr w:rsidR="00A64B57" w:rsidRPr="00313FBA" w:rsidTr="00620605">
        <w:tc>
          <w:tcPr>
            <w:tcW w:w="2628" w:type="dxa"/>
            <w:shd w:val="clear" w:color="auto" w:fill="D9D9D9" w:themeFill="background1" w:themeFillShade="D9"/>
            <w:vAlign w:val="center"/>
          </w:tcPr>
          <w:p w:rsidR="00A64B57" w:rsidRPr="00313FBA" w:rsidRDefault="00A64B57" w:rsidP="00620605">
            <w:pPr>
              <w:jc w:val="center"/>
              <w:rPr>
                <w:rFonts w:ascii="Times New Roman" w:hAnsi="Times New Roman"/>
                <w:b/>
                <w:sz w:val="24"/>
                <w:szCs w:val="24"/>
              </w:rPr>
            </w:pPr>
            <w:r w:rsidRPr="00313FBA">
              <w:rPr>
                <w:rFonts w:ascii="Times New Roman" w:hAnsi="Times New Roman"/>
                <w:b/>
                <w:sz w:val="24"/>
                <w:szCs w:val="24"/>
              </w:rPr>
              <w:t>Faculty Name</w:t>
            </w:r>
          </w:p>
        </w:tc>
        <w:tc>
          <w:tcPr>
            <w:tcW w:w="2067" w:type="dxa"/>
            <w:shd w:val="clear" w:color="auto" w:fill="D9D9D9" w:themeFill="background1" w:themeFillShade="D9"/>
            <w:vAlign w:val="center"/>
          </w:tcPr>
          <w:p w:rsidR="00A64B57" w:rsidRPr="00313FBA" w:rsidRDefault="00A64B57" w:rsidP="00620605">
            <w:pPr>
              <w:jc w:val="center"/>
              <w:rPr>
                <w:rFonts w:ascii="Times New Roman" w:hAnsi="Times New Roman"/>
                <w:b/>
                <w:sz w:val="24"/>
                <w:szCs w:val="24"/>
              </w:rPr>
            </w:pPr>
            <w:r w:rsidRPr="00313FBA">
              <w:rPr>
                <w:rFonts w:ascii="Times New Roman" w:hAnsi="Times New Roman"/>
                <w:b/>
                <w:sz w:val="24"/>
                <w:szCs w:val="24"/>
              </w:rPr>
              <w:t>Position</w:t>
            </w:r>
          </w:p>
        </w:tc>
        <w:tc>
          <w:tcPr>
            <w:tcW w:w="1627" w:type="dxa"/>
            <w:shd w:val="clear" w:color="auto" w:fill="D9D9D9" w:themeFill="background1" w:themeFillShade="D9"/>
            <w:vAlign w:val="center"/>
          </w:tcPr>
          <w:p w:rsidR="00A64B57" w:rsidRPr="00313FBA" w:rsidRDefault="00A64B57" w:rsidP="00620605">
            <w:pPr>
              <w:jc w:val="center"/>
              <w:rPr>
                <w:rFonts w:ascii="Times New Roman" w:hAnsi="Times New Roman"/>
                <w:b/>
                <w:sz w:val="24"/>
                <w:szCs w:val="24"/>
              </w:rPr>
            </w:pPr>
            <w:r w:rsidRPr="00313FBA">
              <w:rPr>
                <w:rFonts w:ascii="Times New Roman" w:hAnsi="Times New Roman"/>
                <w:b/>
                <w:sz w:val="24"/>
                <w:szCs w:val="24"/>
              </w:rPr>
              <w:t>Annual Performance Appraisal</w:t>
            </w:r>
          </w:p>
        </w:tc>
        <w:tc>
          <w:tcPr>
            <w:tcW w:w="1627" w:type="dxa"/>
            <w:shd w:val="clear" w:color="auto" w:fill="D9D9D9" w:themeFill="background1" w:themeFillShade="D9"/>
            <w:vAlign w:val="center"/>
          </w:tcPr>
          <w:p w:rsidR="00A64B57" w:rsidRPr="00313FBA" w:rsidRDefault="00A64B57" w:rsidP="00620605">
            <w:pPr>
              <w:jc w:val="center"/>
              <w:rPr>
                <w:rFonts w:ascii="Times New Roman" w:hAnsi="Times New Roman"/>
                <w:b/>
                <w:sz w:val="24"/>
                <w:szCs w:val="24"/>
              </w:rPr>
            </w:pPr>
            <w:r w:rsidRPr="00313FBA">
              <w:rPr>
                <w:rFonts w:ascii="Times New Roman" w:hAnsi="Times New Roman"/>
                <w:b/>
                <w:sz w:val="24"/>
                <w:szCs w:val="24"/>
              </w:rPr>
              <w:t>Annual Education</w:t>
            </w:r>
          </w:p>
          <w:p w:rsidR="00A64B57" w:rsidRPr="00313FBA" w:rsidRDefault="00A64B57" w:rsidP="00620605">
            <w:pPr>
              <w:jc w:val="center"/>
              <w:rPr>
                <w:rFonts w:ascii="Times New Roman" w:hAnsi="Times New Roman"/>
                <w:b/>
                <w:sz w:val="24"/>
                <w:szCs w:val="24"/>
              </w:rPr>
            </w:pPr>
            <w:r w:rsidRPr="00313FBA">
              <w:rPr>
                <w:rFonts w:ascii="Times New Roman" w:hAnsi="Times New Roman"/>
                <w:b/>
                <w:sz w:val="24"/>
                <w:szCs w:val="24"/>
              </w:rPr>
              <w:t>Requirements</w:t>
            </w:r>
          </w:p>
        </w:tc>
        <w:tc>
          <w:tcPr>
            <w:tcW w:w="1627" w:type="dxa"/>
            <w:shd w:val="clear" w:color="auto" w:fill="D9D9D9" w:themeFill="background1" w:themeFillShade="D9"/>
            <w:vAlign w:val="center"/>
          </w:tcPr>
          <w:p w:rsidR="00A64B57" w:rsidRPr="00313FBA" w:rsidRDefault="00A64B57" w:rsidP="00620605">
            <w:pPr>
              <w:jc w:val="center"/>
              <w:rPr>
                <w:rFonts w:ascii="Times New Roman" w:hAnsi="Times New Roman"/>
                <w:b/>
                <w:sz w:val="24"/>
                <w:szCs w:val="24"/>
              </w:rPr>
            </w:pPr>
            <w:r w:rsidRPr="00313FBA">
              <w:rPr>
                <w:rFonts w:ascii="Times New Roman" w:hAnsi="Times New Roman"/>
                <w:b/>
                <w:sz w:val="24"/>
                <w:szCs w:val="24"/>
              </w:rPr>
              <w:t>Nursing Competencies</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Ammanniti</w:t>
            </w:r>
            <w:proofErr w:type="spellEnd"/>
            <w:r w:rsidRPr="00313FBA">
              <w:rPr>
                <w:rFonts w:ascii="Times New Roman" w:hAnsi="Times New Roman"/>
                <w:sz w:val="24"/>
                <w:szCs w:val="24"/>
              </w:rPr>
              <w:t>, Kelly</w:t>
            </w:r>
          </w:p>
        </w:tc>
        <w:tc>
          <w:tcPr>
            <w:tcW w:w="2067" w:type="dxa"/>
            <w:vAlign w:val="center"/>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vAlign w:val="center"/>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r w:rsidRPr="00313FBA">
              <w:rPr>
                <w:rFonts w:ascii="Times New Roman" w:hAnsi="Times New Roman"/>
                <w:sz w:val="24"/>
                <w:szCs w:val="24"/>
              </w:rPr>
              <w:t>Bower, Therese</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r w:rsidRPr="00313FBA">
              <w:rPr>
                <w:rFonts w:ascii="Times New Roman" w:hAnsi="Times New Roman"/>
                <w:sz w:val="24"/>
                <w:szCs w:val="24"/>
              </w:rPr>
              <w:t>Brennan, Frances</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Brunow</w:t>
            </w:r>
            <w:proofErr w:type="spellEnd"/>
            <w:r w:rsidRPr="00313FBA">
              <w:rPr>
                <w:rFonts w:ascii="Times New Roman" w:hAnsi="Times New Roman"/>
                <w:sz w:val="24"/>
                <w:szCs w:val="24"/>
              </w:rPr>
              <w:t>, Barbara</w:t>
            </w:r>
          </w:p>
        </w:tc>
        <w:tc>
          <w:tcPr>
            <w:tcW w:w="2067" w:type="dxa"/>
            <w:vAlign w:val="center"/>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Assistant Director</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Bussard</w:t>
            </w:r>
            <w:proofErr w:type="spellEnd"/>
            <w:r w:rsidRPr="00313FBA">
              <w:rPr>
                <w:rFonts w:ascii="Times New Roman" w:hAnsi="Times New Roman"/>
                <w:sz w:val="24"/>
                <w:szCs w:val="24"/>
              </w:rPr>
              <w:t>, Michelle</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r w:rsidRPr="00313FBA">
              <w:rPr>
                <w:rFonts w:ascii="Times New Roman" w:hAnsi="Times New Roman"/>
                <w:sz w:val="24"/>
                <w:szCs w:val="24"/>
              </w:rPr>
              <w:t>Myers, Holly</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Ott</w:t>
            </w:r>
            <w:proofErr w:type="spellEnd"/>
            <w:r w:rsidRPr="00313FBA">
              <w:rPr>
                <w:rFonts w:ascii="Times New Roman" w:hAnsi="Times New Roman"/>
                <w:sz w:val="24"/>
                <w:szCs w:val="24"/>
              </w:rPr>
              <w:t>, Michele</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r w:rsidRPr="00313FBA">
              <w:rPr>
                <w:rFonts w:ascii="Times New Roman" w:hAnsi="Times New Roman"/>
                <w:sz w:val="24"/>
                <w:szCs w:val="24"/>
              </w:rPr>
              <w:t>Price, Holly</w:t>
            </w:r>
          </w:p>
        </w:tc>
        <w:tc>
          <w:tcPr>
            <w:tcW w:w="2067" w:type="dxa"/>
            <w:vAlign w:val="center"/>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Director</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Reising</w:t>
            </w:r>
            <w:proofErr w:type="spellEnd"/>
            <w:r w:rsidRPr="00313FBA">
              <w:rPr>
                <w:rFonts w:ascii="Times New Roman" w:hAnsi="Times New Roman"/>
                <w:sz w:val="24"/>
                <w:szCs w:val="24"/>
              </w:rPr>
              <w:t xml:space="preserve">, </w:t>
            </w:r>
            <w:proofErr w:type="spellStart"/>
            <w:r w:rsidRPr="00313FBA">
              <w:rPr>
                <w:rFonts w:ascii="Times New Roman" w:hAnsi="Times New Roman"/>
                <w:sz w:val="24"/>
                <w:szCs w:val="24"/>
              </w:rPr>
              <w:t>Joli</w:t>
            </w:r>
            <w:proofErr w:type="spellEnd"/>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r w:rsidRPr="00313FBA">
              <w:rPr>
                <w:rFonts w:ascii="Times New Roman" w:hAnsi="Times New Roman"/>
                <w:sz w:val="24"/>
                <w:szCs w:val="24"/>
              </w:rPr>
              <w:t>Rockwell, Amy</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Vanderpool</w:t>
            </w:r>
            <w:proofErr w:type="spellEnd"/>
            <w:r w:rsidRPr="00313FBA">
              <w:rPr>
                <w:rFonts w:ascii="Times New Roman" w:hAnsi="Times New Roman"/>
                <w:sz w:val="24"/>
                <w:szCs w:val="24"/>
              </w:rPr>
              <w:t>, Katherine</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Wikel</w:t>
            </w:r>
            <w:proofErr w:type="spellEnd"/>
            <w:r w:rsidRPr="00313FBA">
              <w:rPr>
                <w:rFonts w:ascii="Times New Roman" w:hAnsi="Times New Roman"/>
                <w:sz w:val="24"/>
                <w:szCs w:val="24"/>
              </w:rPr>
              <w:t>, Dawn</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r w:rsidR="00A64B57" w:rsidRPr="00313FBA" w:rsidTr="00620605">
        <w:tc>
          <w:tcPr>
            <w:tcW w:w="2628" w:type="dxa"/>
            <w:vAlign w:val="center"/>
          </w:tcPr>
          <w:p w:rsidR="00A64B57" w:rsidRPr="00313FBA" w:rsidRDefault="00A64B57" w:rsidP="00620605">
            <w:pPr>
              <w:rPr>
                <w:rFonts w:ascii="Times New Roman" w:hAnsi="Times New Roman"/>
                <w:sz w:val="24"/>
                <w:szCs w:val="24"/>
              </w:rPr>
            </w:pPr>
            <w:proofErr w:type="spellStart"/>
            <w:r w:rsidRPr="00313FBA">
              <w:rPr>
                <w:rFonts w:ascii="Times New Roman" w:hAnsi="Times New Roman"/>
                <w:sz w:val="24"/>
                <w:szCs w:val="24"/>
              </w:rPr>
              <w:t>Rine</w:t>
            </w:r>
            <w:proofErr w:type="spellEnd"/>
            <w:r w:rsidRPr="00313FBA">
              <w:rPr>
                <w:rFonts w:ascii="Times New Roman" w:hAnsi="Times New Roman"/>
                <w:sz w:val="24"/>
                <w:szCs w:val="24"/>
              </w:rPr>
              <w:t>, Susan</w:t>
            </w:r>
          </w:p>
        </w:tc>
        <w:tc>
          <w:tcPr>
            <w:tcW w:w="206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Faculty</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c>
          <w:tcPr>
            <w:tcW w:w="1627" w:type="dxa"/>
          </w:tcPr>
          <w:p w:rsidR="00A64B57" w:rsidRPr="00313FBA" w:rsidRDefault="00A64B57" w:rsidP="00620605">
            <w:pPr>
              <w:jc w:val="center"/>
              <w:rPr>
                <w:rFonts w:ascii="Times New Roman" w:hAnsi="Times New Roman"/>
                <w:sz w:val="24"/>
                <w:szCs w:val="24"/>
              </w:rPr>
            </w:pPr>
            <w:r w:rsidRPr="00313FBA">
              <w:rPr>
                <w:rFonts w:ascii="Times New Roman" w:hAnsi="Times New Roman"/>
                <w:sz w:val="24"/>
                <w:szCs w:val="24"/>
              </w:rPr>
              <w:t>X</w:t>
            </w:r>
          </w:p>
        </w:tc>
      </w:tr>
    </w:tbl>
    <w:p w:rsidR="00A64B57" w:rsidRDefault="00A64B57" w:rsidP="00A64B57"/>
    <w:p w:rsidR="00A64B57" w:rsidRDefault="00A64B57" w:rsidP="00A64B57"/>
    <w:p w:rsidR="00215FBC" w:rsidRDefault="00425A8F" w:rsidP="00425A8F">
      <w:pPr>
        <w:spacing w:line="480" w:lineRule="auto"/>
        <w:rPr>
          <w:b/>
          <w:color w:val="FF0000"/>
        </w:rPr>
      </w:pPr>
      <w:r>
        <w:rPr>
          <w:b/>
        </w:rPr>
        <w:t xml:space="preserve">Criterion 2.9     </w:t>
      </w:r>
      <w:r w:rsidR="00215FBC">
        <w:rPr>
          <w:b/>
        </w:rPr>
        <w:t xml:space="preserve">Non-nurse </w:t>
      </w:r>
      <w:proofErr w:type="gramStart"/>
      <w:r w:rsidR="00215FBC">
        <w:rPr>
          <w:b/>
        </w:rPr>
        <w:t>f</w:t>
      </w:r>
      <w:r>
        <w:rPr>
          <w:b/>
        </w:rPr>
        <w:t>aculty</w:t>
      </w:r>
      <w:proofErr w:type="gramEnd"/>
      <w:r>
        <w:rPr>
          <w:b/>
        </w:rPr>
        <w:t xml:space="preserve"> </w:t>
      </w:r>
      <w:r w:rsidR="00215FBC">
        <w:rPr>
          <w:b/>
        </w:rPr>
        <w:t xml:space="preserve">and staff performance is regularly reviewed in accordance with the policies of the governing organization. </w:t>
      </w:r>
      <w:r w:rsidR="00215FBC">
        <w:rPr>
          <w:b/>
          <w:color w:val="FF0000"/>
        </w:rPr>
        <w:t>Barb</w:t>
      </w:r>
    </w:p>
    <w:p w:rsidR="00B411DC" w:rsidRDefault="00B411DC" w:rsidP="00B411DC">
      <w:pPr>
        <w:spacing w:line="480" w:lineRule="auto"/>
        <w:ind w:firstLine="720"/>
      </w:pPr>
      <w:r>
        <w:t>Non-nurse faculty and staff members are evaluated annually by the director of the school of nursing and demonstrate evidence of proficiency in core, education and department competencies. 100% of non-nurse faculty and staff members were evaluated.</w:t>
      </w:r>
    </w:p>
    <w:tbl>
      <w:tblPr>
        <w:tblStyle w:val="TableGrid"/>
        <w:tblW w:w="0" w:type="auto"/>
        <w:tblLook w:val="04A0"/>
      </w:tblPr>
      <w:tblGrid>
        <w:gridCol w:w="2602"/>
        <w:gridCol w:w="2049"/>
        <w:gridCol w:w="1626"/>
        <w:gridCol w:w="1656"/>
        <w:gridCol w:w="1643"/>
      </w:tblGrid>
      <w:tr w:rsidR="00B411DC" w:rsidRPr="00313FBA" w:rsidTr="00620605">
        <w:tc>
          <w:tcPr>
            <w:tcW w:w="2602" w:type="dxa"/>
            <w:shd w:val="clear" w:color="auto" w:fill="D9D9D9" w:themeFill="background1" w:themeFillShade="D9"/>
            <w:vAlign w:val="center"/>
          </w:tcPr>
          <w:p w:rsidR="00B411DC" w:rsidRPr="00313FBA" w:rsidRDefault="00B411DC" w:rsidP="00620605">
            <w:pPr>
              <w:jc w:val="center"/>
              <w:rPr>
                <w:rFonts w:ascii="Times New Roman" w:hAnsi="Times New Roman"/>
                <w:b/>
              </w:rPr>
            </w:pPr>
            <w:r w:rsidRPr="00313FBA">
              <w:rPr>
                <w:rFonts w:ascii="Times New Roman" w:hAnsi="Times New Roman"/>
                <w:b/>
              </w:rPr>
              <w:t>Non- nurse Faculty and Staff Names</w:t>
            </w:r>
          </w:p>
        </w:tc>
        <w:tc>
          <w:tcPr>
            <w:tcW w:w="2049" w:type="dxa"/>
            <w:shd w:val="clear" w:color="auto" w:fill="D9D9D9" w:themeFill="background1" w:themeFillShade="D9"/>
            <w:vAlign w:val="center"/>
          </w:tcPr>
          <w:p w:rsidR="00B411DC" w:rsidRPr="00313FBA" w:rsidRDefault="00B411DC" w:rsidP="00620605">
            <w:pPr>
              <w:jc w:val="center"/>
              <w:rPr>
                <w:rFonts w:ascii="Times New Roman" w:hAnsi="Times New Roman"/>
                <w:b/>
              </w:rPr>
            </w:pPr>
            <w:r w:rsidRPr="00313FBA">
              <w:rPr>
                <w:rFonts w:ascii="Times New Roman" w:hAnsi="Times New Roman"/>
                <w:b/>
              </w:rPr>
              <w:t>Position</w:t>
            </w:r>
          </w:p>
        </w:tc>
        <w:tc>
          <w:tcPr>
            <w:tcW w:w="1626" w:type="dxa"/>
            <w:shd w:val="clear" w:color="auto" w:fill="D9D9D9" w:themeFill="background1" w:themeFillShade="D9"/>
            <w:vAlign w:val="center"/>
          </w:tcPr>
          <w:p w:rsidR="00B411DC" w:rsidRPr="00313FBA" w:rsidRDefault="00B411DC" w:rsidP="00620605">
            <w:pPr>
              <w:jc w:val="center"/>
              <w:rPr>
                <w:rFonts w:ascii="Times New Roman" w:hAnsi="Times New Roman"/>
                <w:b/>
              </w:rPr>
            </w:pPr>
            <w:r w:rsidRPr="00313FBA">
              <w:rPr>
                <w:rFonts w:ascii="Times New Roman" w:hAnsi="Times New Roman"/>
                <w:b/>
              </w:rPr>
              <w:t>Annual Performance Appraisal</w:t>
            </w:r>
          </w:p>
        </w:tc>
        <w:tc>
          <w:tcPr>
            <w:tcW w:w="1656" w:type="dxa"/>
            <w:shd w:val="clear" w:color="auto" w:fill="D9D9D9" w:themeFill="background1" w:themeFillShade="D9"/>
            <w:vAlign w:val="center"/>
          </w:tcPr>
          <w:p w:rsidR="00B411DC" w:rsidRPr="00313FBA" w:rsidRDefault="00B411DC" w:rsidP="00620605">
            <w:pPr>
              <w:jc w:val="center"/>
              <w:rPr>
                <w:rFonts w:ascii="Times New Roman" w:hAnsi="Times New Roman"/>
                <w:b/>
              </w:rPr>
            </w:pPr>
            <w:r w:rsidRPr="00313FBA">
              <w:rPr>
                <w:rFonts w:ascii="Times New Roman" w:hAnsi="Times New Roman"/>
                <w:b/>
              </w:rPr>
              <w:t>Annual Education</w:t>
            </w:r>
          </w:p>
          <w:p w:rsidR="00B411DC" w:rsidRPr="00313FBA" w:rsidRDefault="00B411DC" w:rsidP="00620605">
            <w:pPr>
              <w:jc w:val="center"/>
              <w:rPr>
                <w:rFonts w:ascii="Times New Roman" w:hAnsi="Times New Roman"/>
                <w:b/>
              </w:rPr>
            </w:pPr>
            <w:r w:rsidRPr="00313FBA">
              <w:rPr>
                <w:rFonts w:ascii="Times New Roman" w:hAnsi="Times New Roman"/>
                <w:b/>
              </w:rPr>
              <w:t>Requirements</w:t>
            </w:r>
          </w:p>
        </w:tc>
        <w:tc>
          <w:tcPr>
            <w:tcW w:w="1643" w:type="dxa"/>
            <w:shd w:val="clear" w:color="auto" w:fill="D9D9D9" w:themeFill="background1" w:themeFillShade="D9"/>
            <w:vAlign w:val="center"/>
          </w:tcPr>
          <w:p w:rsidR="00B411DC" w:rsidRPr="00313FBA" w:rsidRDefault="00B411DC" w:rsidP="00620605">
            <w:pPr>
              <w:jc w:val="center"/>
              <w:rPr>
                <w:rFonts w:ascii="Times New Roman" w:hAnsi="Times New Roman"/>
                <w:b/>
              </w:rPr>
            </w:pPr>
            <w:r w:rsidRPr="00313FBA">
              <w:rPr>
                <w:rFonts w:ascii="Times New Roman" w:hAnsi="Times New Roman"/>
                <w:b/>
              </w:rPr>
              <w:t>House-wide Competencies</w:t>
            </w:r>
          </w:p>
        </w:tc>
      </w:tr>
      <w:tr w:rsidR="00B411DC" w:rsidRPr="00313FBA" w:rsidTr="00620605">
        <w:tc>
          <w:tcPr>
            <w:tcW w:w="2602" w:type="dxa"/>
            <w:vAlign w:val="center"/>
          </w:tcPr>
          <w:p w:rsidR="00B411DC" w:rsidRPr="00313FBA" w:rsidRDefault="00B411DC" w:rsidP="00620605">
            <w:pPr>
              <w:rPr>
                <w:rFonts w:ascii="Times New Roman" w:hAnsi="Times New Roman"/>
              </w:rPr>
            </w:pPr>
            <w:r w:rsidRPr="00313FBA">
              <w:rPr>
                <w:rFonts w:ascii="Times New Roman" w:hAnsi="Times New Roman"/>
              </w:rPr>
              <w:t>Daniel, Mary</w:t>
            </w:r>
          </w:p>
        </w:tc>
        <w:tc>
          <w:tcPr>
            <w:tcW w:w="2049" w:type="dxa"/>
            <w:vAlign w:val="center"/>
          </w:tcPr>
          <w:p w:rsidR="00B411DC" w:rsidRPr="00313FBA" w:rsidRDefault="00B411DC" w:rsidP="00620605">
            <w:pPr>
              <w:jc w:val="center"/>
              <w:rPr>
                <w:rFonts w:ascii="Times New Roman" w:hAnsi="Times New Roman"/>
              </w:rPr>
            </w:pPr>
            <w:r w:rsidRPr="00313FBA">
              <w:rPr>
                <w:rFonts w:ascii="Times New Roman" w:hAnsi="Times New Roman"/>
              </w:rPr>
              <w:t>Financial Aid Specialist</w:t>
            </w:r>
          </w:p>
        </w:tc>
        <w:tc>
          <w:tcPr>
            <w:tcW w:w="162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5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43"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r>
      <w:tr w:rsidR="00B411DC" w:rsidRPr="00313FBA" w:rsidTr="00620605">
        <w:tc>
          <w:tcPr>
            <w:tcW w:w="2602" w:type="dxa"/>
            <w:vAlign w:val="center"/>
          </w:tcPr>
          <w:p w:rsidR="00B411DC" w:rsidRPr="00313FBA" w:rsidRDefault="00B411DC" w:rsidP="00620605">
            <w:pPr>
              <w:rPr>
                <w:rFonts w:ascii="Times New Roman" w:hAnsi="Times New Roman"/>
              </w:rPr>
            </w:pPr>
            <w:r w:rsidRPr="00313FBA">
              <w:rPr>
                <w:rFonts w:ascii="Times New Roman" w:hAnsi="Times New Roman"/>
              </w:rPr>
              <w:lastRenderedPageBreak/>
              <w:t>Fitzthum, Diane</w:t>
            </w:r>
          </w:p>
        </w:tc>
        <w:tc>
          <w:tcPr>
            <w:tcW w:w="2049" w:type="dxa"/>
          </w:tcPr>
          <w:p w:rsidR="00B411DC" w:rsidRPr="00313FBA" w:rsidRDefault="00B411DC" w:rsidP="00620605">
            <w:pPr>
              <w:jc w:val="center"/>
              <w:rPr>
                <w:rFonts w:ascii="Times New Roman" w:hAnsi="Times New Roman"/>
              </w:rPr>
            </w:pPr>
            <w:r w:rsidRPr="00313FBA">
              <w:rPr>
                <w:rFonts w:ascii="Times New Roman" w:hAnsi="Times New Roman"/>
              </w:rPr>
              <w:t>Administrative Secretary</w:t>
            </w:r>
          </w:p>
        </w:tc>
        <w:tc>
          <w:tcPr>
            <w:tcW w:w="162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5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43"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r>
      <w:tr w:rsidR="00B411DC" w:rsidRPr="00313FBA" w:rsidTr="00620605">
        <w:tc>
          <w:tcPr>
            <w:tcW w:w="2602" w:type="dxa"/>
            <w:vAlign w:val="center"/>
          </w:tcPr>
          <w:p w:rsidR="00B411DC" w:rsidRPr="00313FBA" w:rsidRDefault="00B411DC" w:rsidP="00620605">
            <w:pPr>
              <w:rPr>
                <w:rFonts w:ascii="Times New Roman" w:hAnsi="Times New Roman"/>
              </w:rPr>
            </w:pPr>
            <w:r w:rsidRPr="00313FBA">
              <w:rPr>
                <w:rFonts w:ascii="Times New Roman" w:hAnsi="Times New Roman"/>
              </w:rPr>
              <w:t>Girard, Dorothy</w:t>
            </w:r>
          </w:p>
        </w:tc>
        <w:tc>
          <w:tcPr>
            <w:tcW w:w="2049" w:type="dxa"/>
          </w:tcPr>
          <w:p w:rsidR="00B411DC" w:rsidRPr="00313FBA" w:rsidRDefault="00B411DC" w:rsidP="00620605">
            <w:pPr>
              <w:jc w:val="center"/>
              <w:rPr>
                <w:rFonts w:ascii="Times New Roman" w:hAnsi="Times New Roman"/>
              </w:rPr>
            </w:pPr>
            <w:r w:rsidRPr="00313FBA">
              <w:rPr>
                <w:rFonts w:ascii="Times New Roman" w:hAnsi="Times New Roman"/>
              </w:rPr>
              <w:t>Registrar/Bursar</w:t>
            </w:r>
          </w:p>
        </w:tc>
        <w:tc>
          <w:tcPr>
            <w:tcW w:w="162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5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43"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r>
      <w:tr w:rsidR="00B411DC" w:rsidRPr="00313FBA" w:rsidTr="00620605">
        <w:tc>
          <w:tcPr>
            <w:tcW w:w="2602" w:type="dxa"/>
            <w:vAlign w:val="center"/>
          </w:tcPr>
          <w:p w:rsidR="00B411DC" w:rsidRPr="00313FBA" w:rsidRDefault="00B411DC" w:rsidP="00620605">
            <w:pPr>
              <w:rPr>
                <w:rFonts w:ascii="Times New Roman" w:hAnsi="Times New Roman"/>
              </w:rPr>
            </w:pPr>
            <w:r w:rsidRPr="00313FBA">
              <w:rPr>
                <w:rFonts w:ascii="Times New Roman" w:hAnsi="Times New Roman"/>
              </w:rPr>
              <w:t>Harlan, Holly</w:t>
            </w:r>
          </w:p>
        </w:tc>
        <w:tc>
          <w:tcPr>
            <w:tcW w:w="2049" w:type="dxa"/>
            <w:vAlign w:val="center"/>
          </w:tcPr>
          <w:p w:rsidR="00B411DC" w:rsidRPr="00313FBA" w:rsidRDefault="00B411DC" w:rsidP="00620605">
            <w:pPr>
              <w:jc w:val="center"/>
              <w:rPr>
                <w:rFonts w:ascii="Times New Roman" w:hAnsi="Times New Roman"/>
              </w:rPr>
            </w:pPr>
            <w:r w:rsidRPr="00313FBA">
              <w:rPr>
                <w:rFonts w:ascii="Times New Roman" w:hAnsi="Times New Roman"/>
              </w:rPr>
              <w:t>Learning Resources Coordinator</w:t>
            </w:r>
          </w:p>
        </w:tc>
        <w:tc>
          <w:tcPr>
            <w:tcW w:w="162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5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43"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r>
      <w:tr w:rsidR="00B411DC" w:rsidRPr="00313FBA" w:rsidTr="00620605">
        <w:tc>
          <w:tcPr>
            <w:tcW w:w="2602" w:type="dxa"/>
            <w:vAlign w:val="center"/>
          </w:tcPr>
          <w:p w:rsidR="00B411DC" w:rsidRPr="00313FBA" w:rsidRDefault="00B411DC" w:rsidP="00620605">
            <w:pPr>
              <w:rPr>
                <w:rFonts w:ascii="Times New Roman" w:hAnsi="Times New Roman"/>
              </w:rPr>
            </w:pPr>
            <w:r w:rsidRPr="00313FBA">
              <w:rPr>
                <w:rFonts w:ascii="Times New Roman" w:hAnsi="Times New Roman"/>
              </w:rPr>
              <w:t>Reitz, Barbara</w:t>
            </w:r>
          </w:p>
        </w:tc>
        <w:tc>
          <w:tcPr>
            <w:tcW w:w="2049" w:type="dxa"/>
          </w:tcPr>
          <w:p w:rsidR="00B411DC" w:rsidRPr="00313FBA" w:rsidRDefault="00B411DC" w:rsidP="00620605">
            <w:pPr>
              <w:jc w:val="center"/>
              <w:rPr>
                <w:rFonts w:ascii="Times New Roman" w:hAnsi="Times New Roman"/>
              </w:rPr>
            </w:pPr>
            <w:r w:rsidRPr="00313FBA">
              <w:rPr>
                <w:rFonts w:ascii="Times New Roman" w:hAnsi="Times New Roman"/>
              </w:rPr>
              <w:t>Clerk Receptionist</w:t>
            </w:r>
          </w:p>
        </w:tc>
        <w:tc>
          <w:tcPr>
            <w:tcW w:w="162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56"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c>
          <w:tcPr>
            <w:tcW w:w="1643" w:type="dxa"/>
            <w:vAlign w:val="center"/>
          </w:tcPr>
          <w:p w:rsidR="00B411DC" w:rsidRPr="00313FBA" w:rsidRDefault="00B411DC" w:rsidP="00620605">
            <w:pPr>
              <w:jc w:val="center"/>
              <w:rPr>
                <w:rFonts w:ascii="Times New Roman" w:hAnsi="Times New Roman"/>
              </w:rPr>
            </w:pPr>
            <w:r w:rsidRPr="00313FBA">
              <w:rPr>
                <w:rFonts w:ascii="Times New Roman" w:hAnsi="Times New Roman"/>
              </w:rPr>
              <w:t>X</w:t>
            </w:r>
          </w:p>
        </w:tc>
      </w:tr>
      <w:tr w:rsidR="00B411DC" w:rsidRPr="00313FBA" w:rsidTr="00B411DC">
        <w:tc>
          <w:tcPr>
            <w:tcW w:w="2602" w:type="dxa"/>
          </w:tcPr>
          <w:p w:rsidR="00B411DC" w:rsidRPr="00313FBA" w:rsidRDefault="00B411DC" w:rsidP="00B411DC">
            <w:pPr>
              <w:rPr>
                <w:rFonts w:ascii="Times New Roman" w:hAnsi="Times New Roman"/>
              </w:rPr>
            </w:pPr>
            <w:proofErr w:type="spellStart"/>
            <w:r w:rsidRPr="00313FBA">
              <w:rPr>
                <w:rFonts w:ascii="Times New Roman" w:hAnsi="Times New Roman"/>
              </w:rPr>
              <w:t>Timple</w:t>
            </w:r>
            <w:proofErr w:type="spellEnd"/>
            <w:r w:rsidRPr="00313FBA">
              <w:rPr>
                <w:rFonts w:ascii="Times New Roman" w:hAnsi="Times New Roman"/>
              </w:rPr>
              <w:t>, Sandy</w:t>
            </w:r>
          </w:p>
        </w:tc>
        <w:tc>
          <w:tcPr>
            <w:tcW w:w="2049" w:type="dxa"/>
          </w:tcPr>
          <w:p w:rsidR="00B411DC" w:rsidRPr="00313FBA" w:rsidRDefault="00B411DC" w:rsidP="00B411DC">
            <w:pPr>
              <w:jc w:val="center"/>
              <w:rPr>
                <w:rFonts w:ascii="Times New Roman" w:hAnsi="Times New Roman"/>
              </w:rPr>
            </w:pPr>
            <w:r w:rsidRPr="00313FBA">
              <w:rPr>
                <w:rFonts w:ascii="Times New Roman" w:hAnsi="Times New Roman"/>
              </w:rPr>
              <w:t>Financial Coordinator</w:t>
            </w:r>
          </w:p>
        </w:tc>
        <w:tc>
          <w:tcPr>
            <w:tcW w:w="1626" w:type="dxa"/>
          </w:tcPr>
          <w:p w:rsidR="00B411DC" w:rsidRPr="00313FBA" w:rsidRDefault="00B411DC" w:rsidP="00B411DC">
            <w:pPr>
              <w:jc w:val="center"/>
              <w:rPr>
                <w:rFonts w:ascii="Times New Roman" w:hAnsi="Times New Roman"/>
              </w:rPr>
            </w:pPr>
            <w:r w:rsidRPr="00313FBA">
              <w:rPr>
                <w:rFonts w:ascii="Times New Roman" w:hAnsi="Times New Roman"/>
              </w:rPr>
              <w:t>X</w:t>
            </w:r>
          </w:p>
        </w:tc>
        <w:tc>
          <w:tcPr>
            <w:tcW w:w="1656" w:type="dxa"/>
          </w:tcPr>
          <w:p w:rsidR="00B411DC" w:rsidRPr="00313FBA" w:rsidRDefault="00B411DC" w:rsidP="00B411DC">
            <w:pPr>
              <w:jc w:val="center"/>
              <w:rPr>
                <w:rFonts w:ascii="Times New Roman" w:hAnsi="Times New Roman"/>
              </w:rPr>
            </w:pPr>
            <w:r w:rsidRPr="00313FBA">
              <w:rPr>
                <w:rFonts w:ascii="Times New Roman" w:hAnsi="Times New Roman"/>
              </w:rPr>
              <w:t>X</w:t>
            </w:r>
          </w:p>
        </w:tc>
        <w:tc>
          <w:tcPr>
            <w:tcW w:w="1643" w:type="dxa"/>
          </w:tcPr>
          <w:p w:rsidR="00B411DC" w:rsidRPr="00313FBA" w:rsidRDefault="00B411DC" w:rsidP="00B411DC">
            <w:pPr>
              <w:jc w:val="center"/>
              <w:rPr>
                <w:rFonts w:ascii="Times New Roman" w:hAnsi="Times New Roman"/>
              </w:rPr>
            </w:pPr>
            <w:r w:rsidRPr="00313FBA">
              <w:rPr>
                <w:rFonts w:ascii="Times New Roman" w:hAnsi="Times New Roman"/>
              </w:rPr>
              <w:t>X</w:t>
            </w:r>
          </w:p>
        </w:tc>
      </w:tr>
    </w:tbl>
    <w:p w:rsidR="00215FBC" w:rsidRPr="00215FBC" w:rsidRDefault="00215FBC" w:rsidP="00425A8F">
      <w:pPr>
        <w:spacing w:line="480" w:lineRule="auto"/>
        <w:rPr>
          <w:b/>
          <w:color w:val="FF0000"/>
        </w:rPr>
      </w:pPr>
    </w:p>
    <w:p w:rsidR="00425A8F" w:rsidRDefault="00425A8F" w:rsidP="00425A8F">
      <w:pPr>
        <w:spacing w:line="480" w:lineRule="auto"/>
        <w:rPr>
          <w:b/>
        </w:rPr>
      </w:pPr>
      <w:r>
        <w:rPr>
          <w:b/>
        </w:rPr>
        <w:t xml:space="preserve">Criterion 2.10     Faculty (full- and part-time) </w:t>
      </w:r>
      <w:proofErr w:type="gramStart"/>
      <w:r w:rsidR="00215FBC">
        <w:rPr>
          <w:b/>
        </w:rPr>
        <w:t>engage</w:t>
      </w:r>
      <w:proofErr w:type="gramEnd"/>
      <w:r w:rsidR="00215FBC">
        <w:rPr>
          <w:b/>
        </w:rPr>
        <w:t xml:space="preserve"> in ongoing development and receive support in distance education modalities including instructional methods and evaluation. </w:t>
      </w:r>
    </w:p>
    <w:p w:rsidR="00215FBC" w:rsidRDefault="00215FBC" w:rsidP="00425A8F">
      <w:pPr>
        <w:spacing w:line="480" w:lineRule="auto"/>
        <w:rPr>
          <w:b/>
          <w:color w:val="FF0000"/>
        </w:rPr>
      </w:pPr>
      <w:r>
        <w:rPr>
          <w:b/>
          <w:color w:val="FF0000"/>
        </w:rPr>
        <w:t>Therese</w:t>
      </w:r>
    </w:p>
    <w:p w:rsidR="00911B93" w:rsidRDefault="00911B93" w:rsidP="00911B93">
      <w:pPr>
        <w:spacing w:line="480" w:lineRule="auto"/>
        <w:ind w:firstLine="720"/>
      </w:pPr>
      <w:r>
        <w:t xml:space="preserve">An annual audit of faculty data sheets is conducted to ascertain that all faculty members utilizing online course teaching methodologies complete faculty development hours related to distance education. Additional documentation of learning can be established by attending meetings related to distance learning and technology in education. </w:t>
      </w:r>
    </w:p>
    <w:p w:rsidR="00911B93" w:rsidRDefault="00911B93" w:rsidP="00911B93">
      <w:pPr>
        <w:spacing w:line="480" w:lineRule="auto"/>
        <w:ind w:firstLine="720"/>
      </w:pPr>
      <w:r>
        <w:t xml:space="preserve">A review of faculty data sheets for the previous two years documented that all nursing faculty in courses described as hybrid courses with some content delivered utilizing online course management have completed continuing education programs in distance education modalities including instructional methods and evaluation processes. </w:t>
      </w:r>
    </w:p>
    <w:p w:rsidR="00911B93" w:rsidRPr="00621596" w:rsidRDefault="00911B93" w:rsidP="00911B93">
      <w:pPr>
        <w:spacing w:line="480" w:lineRule="auto"/>
        <w:ind w:firstLine="720"/>
      </w:pPr>
      <w:r>
        <w:t xml:space="preserve">The FRMCSN </w:t>
      </w:r>
      <w:proofErr w:type="gramStart"/>
      <w:r>
        <w:t>faculty are</w:t>
      </w:r>
      <w:proofErr w:type="gramEnd"/>
      <w:r>
        <w:t xml:space="preserve"> encouraged to attend at least one program annually in the area of distance or online education modalities, instructional methods and evaluation. The FRMCSN budget supports the faculty attendance for continuing education. A review of the faculty data sheets found that faculty attend programs in a variety of forms including webinars, the annual Ohio League for Nursing Education Summit, Journal Club articles, and an orientation program when FRMCSN purchased Edvance360 (a new Learning Management System). </w:t>
      </w:r>
    </w:p>
    <w:p w:rsidR="00F6789B" w:rsidRDefault="00AE2577" w:rsidP="00F42790">
      <w:pPr>
        <w:spacing w:line="480" w:lineRule="auto"/>
      </w:pPr>
      <w:r>
        <w:rPr>
          <w:color w:val="FF0000"/>
        </w:rPr>
        <w:t xml:space="preserve"> Check to see if Amy and Fran have turned in </w:t>
      </w:r>
      <w:r w:rsidR="00F42790">
        <w:rPr>
          <w:color w:val="FF0000"/>
        </w:rPr>
        <w:t xml:space="preserve">orientation </w:t>
      </w:r>
      <w:r>
        <w:rPr>
          <w:color w:val="FF0000"/>
        </w:rPr>
        <w:t>to HP.</w:t>
      </w:r>
    </w:p>
    <w:sectPr w:rsidR="00F6789B" w:rsidSect="00AD48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0FCE"/>
    <w:multiLevelType w:val="hybridMultilevel"/>
    <w:tmpl w:val="465ED0B4"/>
    <w:lvl w:ilvl="0" w:tplc="8EEC999E">
      <w:start w:val="1"/>
      <w:numFmt w:val="bullet"/>
      <w:lvlText w:val=""/>
      <w:lvlJc w:val="left"/>
      <w:pPr>
        <w:tabs>
          <w:tab w:val="num" w:pos="432"/>
        </w:tabs>
        <w:ind w:left="504" w:hanging="504"/>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54B4E92"/>
    <w:multiLevelType w:val="hybridMultilevel"/>
    <w:tmpl w:val="14F0B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D7DE0"/>
    <w:multiLevelType w:val="hybridMultilevel"/>
    <w:tmpl w:val="8D7A2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B5A51"/>
    <w:multiLevelType w:val="hybridMultilevel"/>
    <w:tmpl w:val="BCC66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8242D5"/>
    <w:multiLevelType w:val="hybridMultilevel"/>
    <w:tmpl w:val="025831BE"/>
    <w:lvl w:ilvl="0" w:tplc="D6668F4A">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707E1D64">
      <w:start w:val="1"/>
      <w:numFmt w:val="bullet"/>
      <w:lvlText w:val=""/>
      <w:lvlJc w:val="left"/>
      <w:pPr>
        <w:tabs>
          <w:tab w:val="num" w:pos="2088"/>
        </w:tabs>
        <w:ind w:left="2088" w:hanging="288"/>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1F1E56"/>
    <w:multiLevelType w:val="hybridMultilevel"/>
    <w:tmpl w:val="1DA24D0E"/>
    <w:lvl w:ilvl="0" w:tplc="5C22F2D8">
      <w:start w:val="1"/>
      <w:numFmt w:val="decimal"/>
      <w:lvlText w:val="%1."/>
      <w:lvlJc w:val="left"/>
      <w:pPr>
        <w:tabs>
          <w:tab w:val="num" w:pos="360"/>
        </w:tabs>
        <w:ind w:left="360" w:hanging="360"/>
      </w:pPr>
      <w:rPr>
        <w:rFonts w:hint="default"/>
        <w:b w:val="0"/>
        <w:i w:val="0"/>
      </w:rPr>
    </w:lvl>
    <w:lvl w:ilvl="1" w:tplc="0D90A654">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E4B75D1"/>
    <w:multiLevelType w:val="hybridMultilevel"/>
    <w:tmpl w:val="66A40F38"/>
    <w:lvl w:ilvl="0" w:tplc="5C22F2D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2B6BDF"/>
    <w:multiLevelType w:val="hybridMultilevel"/>
    <w:tmpl w:val="D66A4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7AA1834"/>
    <w:multiLevelType w:val="hybridMultilevel"/>
    <w:tmpl w:val="7BA4C03E"/>
    <w:lvl w:ilvl="0" w:tplc="4768B83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7F6A0D"/>
    <w:multiLevelType w:val="hybridMultilevel"/>
    <w:tmpl w:val="7452F5A2"/>
    <w:lvl w:ilvl="0" w:tplc="8EEC999E">
      <w:start w:val="1"/>
      <w:numFmt w:val="bullet"/>
      <w:lvlText w:val=""/>
      <w:lvlJc w:val="left"/>
      <w:pPr>
        <w:tabs>
          <w:tab w:val="num" w:pos="432"/>
        </w:tabs>
        <w:ind w:left="504"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064419"/>
    <w:multiLevelType w:val="singleLevel"/>
    <w:tmpl w:val="7D5819C6"/>
    <w:lvl w:ilvl="0">
      <w:start w:val="1"/>
      <w:numFmt w:val="decimal"/>
      <w:lvlText w:val="%1."/>
      <w:lvlJc w:val="left"/>
      <w:pPr>
        <w:tabs>
          <w:tab w:val="num" w:pos="1155"/>
        </w:tabs>
        <w:ind w:left="1155" w:hanging="585"/>
      </w:pPr>
      <w:rPr>
        <w:rFonts w:hint="default"/>
      </w:rPr>
    </w:lvl>
  </w:abstractNum>
  <w:num w:numId="1">
    <w:abstractNumId w:val="5"/>
  </w:num>
  <w:num w:numId="2">
    <w:abstractNumId w:val="6"/>
  </w:num>
  <w:num w:numId="3">
    <w:abstractNumId w:val="10"/>
  </w:num>
  <w:num w:numId="4">
    <w:abstractNumId w:val="3"/>
  </w:num>
  <w:num w:numId="5">
    <w:abstractNumId w:val="2"/>
  </w:num>
  <w:num w:numId="6">
    <w:abstractNumId w:val="0"/>
  </w:num>
  <w:num w:numId="7">
    <w:abstractNumId w:val="4"/>
  </w:num>
  <w:num w:numId="8">
    <w:abstractNumId w:val="1"/>
  </w:num>
  <w:num w:numId="9">
    <w:abstractNumId w:val="7"/>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638DE"/>
    <w:rsid w:val="00012F27"/>
    <w:rsid w:val="000172EC"/>
    <w:rsid w:val="00026A42"/>
    <w:rsid w:val="000937C0"/>
    <w:rsid w:val="000B53B1"/>
    <w:rsid w:val="000C4E4F"/>
    <w:rsid w:val="000E2921"/>
    <w:rsid w:val="000F7E0C"/>
    <w:rsid w:val="001955E6"/>
    <w:rsid w:val="001C68E2"/>
    <w:rsid w:val="00215FBC"/>
    <w:rsid w:val="00245940"/>
    <w:rsid w:val="00285098"/>
    <w:rsid w:val="002C6A31"/>
    <w:rsid w:val="002E691F"/>
    <w:rsid w:val="002F677D"/>
    <w:rsid w:val="003007B1"/>
    <w:rsid w:val="00313FBA"/>
    <w:rsid w:val="00355AB5"/>
    <w:rsid w:val="00374EFD"/>
    <w:rsid w:val="003F1296"/>
    <w:rsid w:val="003F6C65"/>
    <w:rsid w:val="00425A8F"/>
    <w:rsid w:val="004303BD"/>
    <w:rsid w:val="0044139B"/>
    <w:rsid w:val="00446FCB"/>
    <w:rsid w:val="004526D6"/>
    <w:rsid w:val="00477E22"/>
    <w:rsid w:val="004A7437"/>
    <w:rsid w:val="004C44D5"/>
    <w:rsid w:val="004D279C"/>
    <w:rsid w:val="00500753"/>
    <w:rsid w:val="00553A2D"/>
    <w:rsid w:val="00554C3C"/>
    <w:rsid w:val="00560305"/>
    <w:rsid w:val="0056191B"/>
    <w:rsid w:val="005B0CFB"/>
    <w:rsid w:val="005B2EAD"/>
    <w:rsid w:val="005C062C"/>
    <w:rsid w:val="005F11B4"/>
    <w:rsid w:val="0060281B"/>
    <w:rsid w:val="00605AA0"/>
    <w:rsid w:val="00620605"/>
    <w:rsid w:val="00632907"/>
    <w:rsid w:val="00642A44"/>
    <w:rsid w:val="00647955"/>
    <w:rsid w:val="00647C17"/>
    <w:rsid w:val="006573CC"/>
    <w:rsid w:val="0067749C"/>
    <w:rsid w:val="00685A0F"/>
    <w:rsid w:val="00694145"/>
    <w:rsid w:val="00713F12"/>
    <w:rsid w:val="00721C24"/>
    <w:rsid w:val="00737168"/>
    <w:rsid w:val="00753DD8"/>
    <w:rsid w:val="007868C9"/>
    <w:rsid w:val="00786EB9"/>
    <w:rsid w:val="0079550D"/>
    <w:rsid w:val="007A7F05"/>
    <w:rsid w:val="007B3154"/>
    <w:rsid w:val="00805507"/>
    <w:rsid w:val="0089021C"/>
    <w:rsid w:val="0089211D"/>
    <w:rsid w:val="008D5731"/>
    <w:rsid w:val="008F7D9C"/>
    <w:rsid w:val="00911B93"/>
    <w:rsid w:val="00930764"/>
    <w:rsid w:val="00936D77"/>
    <w:rsid w:val="00945BEA"/>
    <w:rsid w:val="009504FD"/>
    <w:rsid w:val="00974A09"/>
    <w:rsid w:val="00984E54"/>
    <w:rsid w:val="009943AE"/>
    <w:rsid w:val="009C1608"/>
    <w:rsid w:val="009C5A6B"/>
    <w:rsid w:val="009D1AEC"/>
    <w:rsid w:val="00A2168D"/>
    <w:rsid w:val="00A22179"/>
    <w:rsid w:val="00A23C04"/>
    <w:rsid w:val="00A4159E"/>
    <w:rsid w:val="00A51516"/>
    <w:rsid w:val="00A5194A"/>
    <w:rsid w:val="00A64B57"/>
    <w:rsid w:val="00A8096A"/>
    <w:rsid w:val="00A9404C"/>
    <w:rsid w:val="00AA166A"/>
    <w:rsid w:val="00AD0F52"/>
    <w:rsid w:val="00AD48A6"/>
    <w:rsid w:val="00AE2577"/>
    <w:rsid w:val="00AE3516"/>
    <w:rsid w:val="00B05128"/>
    <w:rsid w:val="00B23536"/>
    <w:rsid w:val="00B3644B"/>
    <w:rsid w:val="00B374B3"/>
    <w:rsid w:val="00B411DC"/>
    <w:rsid w:val="00B72480"/>
    <w:rsid w:val="00B9237E"/>
    <w:rsid w:val="00B95373"/>
    <w:rsid w:val="00BB1862"/>
    <w:rsid w:val="00C74E06"/>
    <w:rsid w:val="00C81375"/>
    <w:rsid w:val="00CA321C"/>
    <w:rsid w:val="00CB5BF3"/>
    <w:rsid w:val="00CC453A"/>
    <w:rsid w:val="00CD1FF2"/>
    <w:rsid w:val="00CD48B2"/>
    <w:rsid w:val="00CE5FB5"/>
    <w:rsid w:val="00D4659F"/>
    <w:rsid w:val="00D66A0C"/>
    <w:rsid w:val="00D845A5"/>
    <w:rsid w:val="00DA0436"/>
    <w:rsid w:val="00DA774E"/>
    <w:rsid w:val="00DC7CAF"/>
    <w:rsid w:val="00DE1903"/>
    <w:rsid w:val="00DF50F6"/>
    <w:rsid w:val="00E669A4"/>
    <w:rsid w:val="00EE11AA"/>
    <w:rsid w:val="00F109D0"/>
    <w:rsid w:val="00F42790"/>
    <w:rsid w:val="00F574AC"/>
    <w:rsid w:val="00F638DE"/>
    <w:rsid w:val="00F65BE3"/>
    <w:rsid w:val="00F6789B"/>
    <w:rsid w:val="00F75C09"/>
    <w:rsid w:val="00FD4397"/>
    <w:rsid w:val="00FD6154"/>
    <w:rsid w:val="00FE6584"/>
    <w:rsid w:val="00FF3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DE"/>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66A"/>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1B93"/>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B3644B"/>
    <w:rPr>
      <w:szCs w:val="20"/>
    </w:rPr>
  </w:style>
  <w:style w:type="character" w:customStyle="1" w:styleId="BodyTextChar">
    <w:name w:val="Body Text Char"/>
    <w:basedOn w:val="DefaultParagraphFont"/>
    <w:link w:val="BodyText"/>
    <w:rsid w:val="00B3644B"/>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75806032">
      <w:bodyDiv w:val="1"/>
      <w:marLeft w:val="0"/>
      <w:marRight w:val="0"/>
      <w:marTop w:val="0"/>
      <w:marBottom w:val="0"/>
      <w:divBdr>
        <w:top w:val="none" w:sz="0" w:space="0" w:color="auto"/>
        <w:left w:val="none" w:sz="0" w:space="0" w:color="auto"/>
        <w:bottom w:val="none" w:sz="0" w:space="0" w:color="auto"/>
        <w:right w:val="none" w:sz="0" w:space="0" w:color="auto"/>
      </w:divBdr>
    </w:div>
    <w:div w:id="13494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1071</TotalTime>
  <Pages>16</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reisinj</cp:lastModifiedBy>
  <cp:revision>26</cp:revision>
  <dcterms:created xsi:type="dcterms:W3CDTF">2012-11-11T00:24:00Z</dcterms:created>
  <dcterms:modified xsi:type="dcterms:W3CDTF">2013-02-03T03:30:00Z</dcterms:modified>
</cp:coreProperties>
</file>