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33" w:rsidRPr="00FC2A9F" w:rsidRDefault="00771B33">
      <w:pPr>
        <w:rPr>
          <w:b/>
          <w:sz w:val="24"/>
          <w:szCs w:val="24"/>
        </w:rPr>
      </w:pPr>
      <w:r w:rsidRPr="00FC2A9F">
        <w:rPr>
          <w:b/>
          <w:sz w:val="24"/>
          <w:szCs w:val="24"/>
        </w:rPr>
        <w:t>The Aging Adult---Elder Abuse</w:t>
      </w:r>
    </w:p>
    <w:p w:rsidR="00240016" w:rsidRPr="00FC2A9F" w:rsidRDefault="00E61B4A" w:rsidP="00240016">
      <w:pPr>
        <w:rPr>
          <w:sz w:val="24"/>
          <w:szCs w:val="24"/>
        </w:rPr>
      </w:pPr>
      <w:r w:rsidRPr="00FC2A9F">
        <w:rPr>
          <w:b/>
          <w:sz w:val="24"/>
          <w:szCs w:val="24"/>
        </w:rPr>
        <w:t xml:space="preserve">Directions: </w:t>
      </w:r>
      <w:r w:rsidR="00240016" w:rsidRPr="00FC2A9F">
        <w:rPr>
          <w:sz w:val="24"/>
          <w:szCs w:val="24"/>
        </w:rPr>
        <w:t xml:space="preserve">Go to the National Center on Elder Abuse </w:t>
      </w:r>
      <w:r w:rsidR="002E2F74" w:rsidRPr="00FC2A9F">
        <w:rPr>
          <w:sz w:val="24"/>
          <w:szCs w:val="24"/>
        </w:rPr>
        <w:t>web site. Using this web site</w:t>
      </w:r>
      <w:r w:rsidR="00240016" w:rsidRPr="00FC2A9F">
        <w:rPr>
          <w:sz w:val="24"/>
          <w:szCs w:val="24"/>
        </w:rPr>
        <w:t xml:space="preserve"> answer the following questions. </w:t>
      </w:r>
      <w:r w:rsidR="002E2F74" w:rsidRPr="00FC2A9F">
        <w:rPr>
          <w:sz w:val="24"/>
          <w:szCs w:val="24"/>
        </w:rPr>
        <w:t>Questions will be due on May 24</w:t>
      </w:r>
      <w:r w:rsidR="002E2F74" w:rsidRPr="00FC2A9F">
        <w:rPr>
          <w:sz w:val="24"/>
          <w:szCs w:val="24"/>
          <w:vertAlign w:val="superscript"/>
        </w:rPr>
        <w:t>th</w:t>
      </w:r>
      <w:r w:rsidR="002E2F74" w:rsidRPr="00FC2A9F">
        <w:rPr>
          <w:sz w:val="24"/>
          <w:szCs w:val="24"/>
        </w:rPr>
        <w:t xml:space="preserve"> 8am.</w:t>
      </w:r>
    </w:p>
    <w:p w:rsidR="00240016" w:rsidRPr="00FC2A9F" w:rsidRDefault="00240016" w:rsidP="00240016">
      <w:pPr>
        <w:pStyle w:val="ListParagraph"/>
        <w:numPr>
          <w:ilvl w:val="0"/>
          <w:numId w:val="1"/>
        </w:numPr>
      </w:pPr>
      <w:r w:rsidRPr="00FC2A9F">
        <w:t>The National Center on Elder Abuse defines Elder abuse as:</w:t>
      </w:r>
    </w:p>
    <w:p w:rsidR="008331BA" w:rsidRPr="00FC2A9F" w:rsidRDefault="008331BA" w:rsidP="008331BA">
      <w:pPr>
        <w:pStyle w:val="ListParagraph"/>
      </w:pPr>
      <w:r w:rsidRPr="00FC2A9F">
        <w:t>Elder abuse is a term referring to any knowing, intentional, or negligent act by a caregiver or any other person that causes harm or a serious risk of harm to a vulnerable adult.</w:t>
      </w:r>
    </w:p>
    <w:p w:rsidR="00240016" w:rsidRPr="00FC2A9F" w:rsidRDefault="00240016" w:rsidP="00240016">
      <w:pPr>
        <w:pStyle w:val="ListParagraph"/>
        <w:numPr>
          <w:ilvl w:val="0"/>
          <w:numId w:val="1"/>
        </w:numPr>
        <w:rPr>
          <w:sz w:val="24"/>
          <w:szCs w:val="24"/>
        </w:rPr>
      </w:pPr>
      <w:r w:rsidRPr="00FC2A9F">
        <w:rPr>
          <w:sz w:val="24"/>
          <w:szCs w:val="24"/>
        </w:rPr>
        <w:t>Identify three theories for an Elderly individual who may be at risk for abuse.</w:t>
      </w:r>
    </w:p>
    <w:p w:rsidR="00240016" w:rsidRPr="00FC2A9F" w:rsidRDefault="00240016" w:rsidP="00240016">
      <w:pPr>
        <w:pStyle w:val="ListParagraph"/>
        <w:numPr>
          <w:ilvl w:val="0"/>
          <w:numId w:val="1"/>
        </w:numPr>
      </w:pPr>
      <w:r w:rsidRPr="00FC2A9F">
        <w:t>Identify the symptoms of the following types of abuse:</w:t>
      </w:r>
    </w:p>
    <w:p w:rsidR="00240016" w:rsidRPr="00FC2A9F" w:rsidRDefault="00240016" w:rsidP="00240016">
      <w:pPr>
        <w:pStyle w:val="ListParagraph"/>
        <w:numPr>
          <w:ilvl w:val="0"/>
          <w:numId w:val="2"/>
        </w:numPr>
      </w:pPr>
      <w:r w:rsidRPr="00FC2A9F">
        <w:t>Physical</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bruises, black eyes, welts, lacerations, and rope marks;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bone fractures, broken bones, and skull fractures;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open wounds, cuts, punctures, untreated injuries in various stages of healing;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sprains, dislocations, and internal injuries/bleeding;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broken eyeglasses/frames, physical signs of being subjected to punishment, and signs of being restrained;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laboratory findings of medication overdose or under utilization of prescribed drugs;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an elder's report of being hit, slapped, kicked, or mistreated;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an elder's sudden change in behavior; and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the</w:t>
      </w:r>
      <w:proofErr w:type="gramEnd"/>
      <w:r w:rsidRPr="008331BA">
        <w:rPr>
          <w:rFonts w:eastAsia="Times New Roman" w:cs="Times New Roman"/>
          <w:sz w:val="24"/>
          <w:szCs w:val="24"/>
        </w:rPr>
        <w:t xml:space="preserve"> caregiver's refusal to allow visitors to see an elder alone. </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Sexual</w:t>
      </w:r>
    </w:p>
    <w:p w:rsidR="008331BA" w:rsidRPr="00FC2A9F" w:rsidRDefault="008331BA" w:rsidP="008331BA"/>
    <w:p w:rsidR="008331BA" w:rsidRPr="008331BA" w:rsidRDefault="008331BA" w:rsidP="008331BA">
      <w:pPr>
        <w:numPr>
          <w:ilvl w:val="0"/>
          <w:numId w:val="4"/>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bruises around the breasts or genital area; </w:t>
      </w:r>
    </w:p>
    <w:p w:rsidR="008331BA" w:rsidRPr="008331BA" w:rsidRDefault="008331BA" w:rsidP="008331BA">
      <w:pPr>
        <w:numPr>
          <w:ilvl w:val="0"/>
          <w:numId w:val="4"/>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unexplained venereal disease or genital infections; </w:t>
      </w:r>
    </w:p>
    <w:p w:rsidR="008331BA" w:rsidRPr="008331BA" w:rsidRDefault="008331BA" w:rsidP="008331BA">
      <w:pPr>
        <w:numPr>
          <w:ilvl w:val="0"/>
          <w:numId w:val="4"/>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unexplained vaginal or anal bleeding; </w:t>
      </w:r>
    </w:p>
    <w:p w:rsidR="008331BA" w:rsidRPr="008331BA" w:rsidRDefault="008331BA" w:rsidP="008331BA">
      <w:pPr>
        <w:numPr>
          <w:ilvl w:val="0"/>
          <w:numId w:val="4"/>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torn, stained, or bloody underclothing; and </w:t>
      </w:r>
    </w:p>
    <w:p w:rsidR="008331BA" w:rsidRPr="008331BA" w:rsidRDefault="008331BA" w:rsidP="008331BA">
      <w:pPr>
        <w:numPr>
          <w:ilvl w:val="0"/>
          <w:numId w:val="4"/>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an</w:t>
      </w:r>
      <w:proofErr w:type="gramEnd"/>
      <w:r w:rsidRPr="008331BA">
        <w:rPr>
          <w:rFonts w:eastAsia="Times New Roman" w:cs="Times New Roman"/>
          <w:sz w:val="24"/>
          <w:szCs w:val="24"/>
        </w:rPr>
        <w:t xml:space="preserve"> elder's report of being sexually assaulted or raped. </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 xml:space="preserve">Emotional or psychological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being emotionally upset or agitated;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being extremely withdrawn and non communicative or non responsive;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unusual behavior usually attributed to dementia (e.g., sucking, biting, rocking); and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an</w:t>
      </w:r>
      <w:proofErr w:type="gramEnd"/>
      <w:r w:rsidRPr="008331BA">
        <w:rPr>
          <w:rFonts w:eastAsia="Times New Roman" w:cs="Times New Roman"/>
          <w:sz w:val="24"/>
          <w:szCs w:val="24"/>
        </w:rPr>
        <w:t xml:space="preserve"> elder's report of being verbally or emotionally mistreated.</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Neglect</w:t>
      </w:r>
    </w:p>
    <w:p w:rsidR="008331BA" w:rsidRPr="00FC2A9F" w:rsidRDefault="008331BA" w:rsidP="008331BA">
      <w:pPr>
        <w:pStyle w:val="ListParagraph"/>
      </w:pPr>
    </w:p>
    <w:p w:rsidR="008331BA" w:rsidRPr="008331BA" w:rsidRDefault="008331BA" w:rsidP="008331BA">
      <w:pPr>
        <w:numPr>
          <w:ilvl w:val="0"/>
          <w:numId w:val="6"/>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dehydration, malnutrition, untreated bed sores, and poor personal hygiene; </w:t>
      </w:r>
    </w:p>
    <w:p w:rsidR="008331BA" w:rsidRPr="008331BA" w:rsidRDefault="008331BA" w:rsidP="008331BA">
      <w:pPr>
        <w:numPr>
          <w:ilvl w:val="0"/>
          <w:numId w:val="6"/>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unattended or untreated health problems; </w:t>
      </w:r>
    </w:p>
    <w:p w:rsidR="008331BA" w:rsidRPr="008331BA" w:rsidRDefault="008331BA" w:rsidP="008331BA">
      <w:pPr>
        <w:numPr>
          <w:ilvl w:val="0"/>
          <w:numId w:val="6"/>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hazardous or unsafe living condition/arrangements (e.g., improper wiring, no heat, or no running water); </w:t>
      </w:r>
    </w:p>
    <w:p w:rsidR="008331BA" w:rsidRPr="008331BA" w:rsidRDefault="008331BA" w:rsidP="008331BA">
      <w:pPr>
        <w:numPr>
          <w:ilvl w:val="0"/>
          <w:numId w:val="6"/>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unsanitary and unclean living conditions (e.g. dirt, fleas, lice on person, soiled bedding, fecal/urine smell, inadequate clothing); and </w:t>
      </w:r>
    </w:p>
    <w:p w:rsidR="008331BA" w:rsidRPr="008331BA" w:rsidRDefault="008331BA" w:rsidP="008331BA">
      <w:pPr>
        <w:numPr>
          <w:ilvl w:val="0"/>
          <w:numId w:val="6"/>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an</w:t>
      </w:r>
      <w:proofErr w:type="gramEnd"/>
      <w:r w:rsidRPr="008331BA">
        <w:rPr>
          <w:rFonts w:eastAsia="Times New Roman" w:cs="Times New Roman"/>
          <w:sz w:val="24"/>
          <w:szCs w:val="24"/>
        </w:rPr>
        <w:t xml:space="preserve"> elder's report of being mistreated. </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Abandonment</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the desertion of an elder at a hospital, a nursing facility, or other similar institution;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the desertion of an elder at a shopping center or other public location; and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an</w:t>
      </w:r>
      <w:proofErr w:type="gramEnd"/>
      <w:r w:rsidRPr="008331BA">
        <w:rPr>
          <w:rFonts w:eastAsia="Times New Roman" w:cs="Times New Roman"/>
          <w:sz w:val="24"/>
          <w:szCs w:val="24"/>
        </w:rPr>
        <w:t xml:space="preserve"> elder's own report of being abandoned. </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Financial or material exploitation</w:t>
      </w:r>
    </w:p>
    <w:p w:rsidR="008331BA" w:rsidRPr="00FC2A9F" w:rsidRDefault="008331BA" w:rsidP="008331BA">
      <w:pPr>
        <w:pStyle w:val="ListParagraph"/>
      </w:pP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sudden changes in bank account or banking practice, including an unexplained withdrawal of large sums of money by a person accompanying the elder;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the inclusion of additional names on an elder's bank signature card;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unauthorized withdrawal of the elder's funds using the elder's ATM card;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abrupt changes in a will or other financial documents;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unexplained disappearance of funds or valuable possessions;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substandard care being provided or bills unpaid despite the availability of adequate financial resources;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discovery of an elder's signature being forged for financial transactions or for the titles of his/her possessions;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sudden appearance of previously uninvolved relatives claiming their rights to an elder's affairs and possessions;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unexplained sudden transfer of assets to a family member or someone outside the family;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the provision of services that are not necessary; and </w:t>
      </w:r>
    </w:p>
    <w:p w:rsidR="008331BA" w:rsidRPr="008331BA" w:rsidRDefault="008331BA" w:rsidP="008331BA">
      <w:pPr>
        <w:numPr>
          <w:ilvl w:val="0"/>
          <w:numId w:val="8"/>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an</w:t>
      </w:r>
      <w:proofErr w:type="gramEnd"/>
      <w:r w:rsidRPr="008331BA">
        <w:rPr>
          <w:rFonts w:eastAsia="Times New Roman" w:cs="Times New Roman"/>
          <w:sz w:val="24"/>
          <w:szCs w:val="24"/>
        </w:rPr>
        <w:t xml:space="preserve"> elder's report of financial exploitation. </w:t>
      </w:r>
    </w:p>
    <w:p w:rsidR="008331BA" w:rsidRPr="00FC2A9F" w:rsidRDefault="008331BA" w:rsidP="008331BA">
      <w:pPr>
        <w:pStyle w:val="ListParagraph"/>
        <w:ind w:left="2160"/>
      </w:pPr>
    </w:p>
    <w:p w:rsidR="00240016" w:rsidRPr="00FC2A9F" w:rsidRDefault="00240016" w:rsidP="00240016">
      <w:pPr>
        <w:pStyle w:val="ListParagraph"/>
        <w:numPr>
          <w:ilvl w:val="0"/>
          <w:numId w:val="2"/>
        </w:numPr>
      </w:pPr>
      <w:r w:rsidRPr="00FC2A9F">
        <w:t>Self-neglect</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lastRenderedPageBreak/>
        <w:t xml:space="preserve">dehydration, malnutrition, untreated or improperly attended medical conditions, and poor personal hygiene;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hazardous or unsafe living conditions/arrangements (e.g., improper wiring, no indoor plumbing, no heat, no running water);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unsanitary or unclean living quarters (e.g., animal/insect infestation, no functioning toilet, fecal/urine smell);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r w:rsidRPr="008331BA">
        <w:rPr>
          <w:rFonts w:eastAsia="Times New Roman" w:cs="Times New Roman"/>
          <w:sz w:val="24"/>
          <w:szCs w:val="24"/>
        </w:rPr>
        <w:t xml:space="preserve">inappropriate and/or inadequate clothing, lack of the necessary medical aids (e.g., eyeglasses, hearing aids, dentures); and </w:t>
      </w:r>
    </w:p>
    <w:p w:rsidR="008331BA" w:rsidRPr="008331BA" w:rsidRDefault="008331BA" w:rsidP="008331BA">
      <w:pPr>
        <w:numPr>
          <w:ilvl w:val="0"/>
          <w:numId w:val="2"/>
        </w:numPr>
        <w:spacing w:before="100" w:beforeAutospacing="1" w:after="100" w:afterAutospacing="1" w:line="240" w:lineRule="auto"/>
        <w:rPr>
          <w:rFonts w:eastAsia="Times New Roman" w:cs="Times New Roman"/>
          <w:sz w:val="24"/>
          <w:szCs w:val="24"/>
        </w:rPr>
      </w:pPr>
      <w:proofErr w:type="gramStart"/>
      <w:r w:rsidRPr="008331BA">
        <w:rPr>
          <w:rFonts w:eastAsia="Times New Roman" w:cs="Times New Roman"/>
          <w:sz w:val="24"/>
          <w:szCs w:val="24"/>
        </w:rPr>
        <w:t>grossly</w:t>
      </w:r>
      <w:proofErr w:type="gramEnd"/>
      <w:r w:rsidRPr="008331BA">
        <w:rPr>
          <w:rFonts w:eastAsia="Times New Roman" w:cs="Times New Roman"/>
          <w:sz w:val="24"/>
          <w:szCs w:val="24"/>
        </w:rPr>
        <w:t xml:space="preserve"> inadequate housing or homelessness. </w:t>
      </w:r>
    </w:p>
    <w:p w:rsidR="008331BA" w:rsidRPr="00FC2A9F" w:rsidRDefault="008331BA" w:rsidP="008331BA">
      <w:pPr>
        <w:pStyle w:val="ListParagraph"/>
        <w:ind w:left="2160"/>
      </w:pPr>
    </w:p>
    <w:p w:rsidR="00771B33" w:rsidRPr="00FC2A9F" w:rsidRDefault="000139CF" w:rsidP="00771B33">
      <w:pPr>
        <w:pStyle w:val="ListParagraph"/>
        <w:numPr>
          <w:ilvl w:val="0"/>
          <w:numId w:val="1"/>
        </w:numPr>
      </w:pPr>
      <w:r w:rsidRPr="00FC2A9F">
        <w:t>List the reasons</w:t>
      </w:r>
      <w:r w:rsidR="00240016" w:rsidRPr="00FC2A9F">
        <w:t xml:space="preserve"> why</w:t>
      </w:r>
      <w:r w:rsidRPr="00FC2A9F">
        <w:t xml:space="preserve"> there are no official national statistics.</w:t>
      </w:r>
    </w:p>
    <w:p w:rsidR="00053F73" w:rsidRPr="00FC2A9F" w:rsidRDefault="00053F73" w:rsidP="00053F73">
      <w:pPr>
        <w:pStyle w:val="ListParagraph"/>
        <w:numPr>
          <w:ilvl w:val="0"/>
          <w:numId w:val="1"/>
        </w:numPr>
      </w:pPr>
      <w:r w:rsidRPr="00FC2A9F">
        <w:t>Under the Ohio Revised Law #5123.61 who is required by law to report abuse?</w:t>
      </w:r>
    </w:p>
    <w:p w:rsidR="00DD77F4" w:rsidRPr="00FC2A9F" w:rsidRDefault="00DD77F4" w:rsidP="00DD77F4">
      <w:pPr>
        <w:pStyle w:val="ListParagraph"/>
        <w:numPr>
          <w:ilvl w:val="1"/>
          <w:numId w:val="1"/>
        </w:numPr>
        <w:spacing w:before="100" w:beforeAutospacing="1" w:after="100" w:afterAutospacing="1" w:line="240" w:lineRule="auto"/>
        <w:jc w:val="both"/>
        <w:rPr>
          <w:rFonts w:eastAsia="Times New Roman" w:cs="Times New Roman"/>
          <w:sz w:val="19"/>
          <w:szCs w:val="19"/>
          <w:lang/>
        </w:rPr>
      </w:pPr>
      <w:r w:rsidRPr="00FC2A9F">
        <w:rPr>
          <w:rFonts w:eastAsia="Times New Roman" w:cs="Times New Roman"/>
          <w:sz w:val="19"/>
          <w:szCs w:val="19"/>
          <w:lang/>
        </w:rPr>
        <w:t xml:space="preserve">Any physician, including a hospital intern or resident, any dentist, podiatrist, chiropractor, practitioner of a limited branch of medicine as specified in section </w:t>
      </w:r>
      <w:hyperlink r:id="rId5" w:tooltip="4731.15" w:history="1">
        <w:r w:rsidRPr="00FC2A9F">
          <w:rPr>
            <w:rFonts w:eastAsia="Times New Roman" w:cs="Times New Roman"/>
            <w:color w:val="00008B"/>
            <w:sz w:val="19"/>
            <w:u w:val="single"/>
            <w:lang/>
          </w:rPr>
          <w:t>4731.15</w:t>
        </w:r>
      </w:hyperlink>
      <w:r w:rsidRPr="00FC2A9F">
        <w:rPr>
          <w:rFonts w:eastAsia="Times New Roman" w:cs="Times New Roman"/>
          <w:sz w:val="19"/>
          <w:szCs w:val="19"/>
          <w:lang/>
        </w:rPr>
        <w:t xml:space="preserve"> of the Revised Code, hospital administrator or employee of a hospital, nurse licensed under Chapter 4723. </w:t>
      </w:r>
      <w:proofErr w:type="gramStart"/>
      <w:r w:rsidRPr="00FC2A9F">
        <w:rPr>
          <w:rFonts w:eastAsia="Times New Roman" w:cs="Times New Roman"/>
          <w:sz w:val="19"/>
          <w:szCs w:val="19"/>
          <w:lang/>
        </w:rPr>
        <w:t>of</w:t>
      </w:r>
      <w:proofErr w:type="gramEnd"/>
      <w:r w:rsidRPr="00FC2A9F">
        <w:rPr>
          <w:rFonts w:eastAsia="Times New Roman" w:cs="Times New Roman"/>
          <w:sz w:val="19"/>
          <w:szCs w:val="19"/>
          <w:lang/>
        </w:rPr>
        <w:t xml:space="preserve"> the Revised Code, employee of an ambulatory health facility as defined in section </w:t>
      </w:r>
      <w:hyperlink r:id="rId6" w:tooltip="5101.61" w:history="1">
        <w:r w:rsidRPr="00FC2A9F">
          <w:rPr>
            <w:rFonts w:eastAsia="Times New Roman" w:cs="Times New Roman"/>
            <w:color w:val="00008B"/>
            <w:sz w:val="19"/>
            <w:u w:val="single"/>
            <w:lang/>
          </w:rPr>
          <w:t>5101.61</w:t>
        </w:r>
      </w:hyperlink>
      <w:r w:rsidRPr="00FC2A9F">
        <w:rPr>
          <w:rFonts w:eastAsia="Times New Roman" w:cs="Times New Roman"/>
          <w:sz w:val="19"/>
          <w:szCs w:val="19"/>
          <w:lang/>
        </w:rPr>
        <w:t xml:space="preserve"> of the Revised Code, employee of a home health agency, employee of an adult care facility licensed under Chapter 3722. of the Revised Code, or employee of a community mental health facility;</w:t>
      </w:r>
    </w:p>
    <w:p w:rsidR="00DD77F4" w:rsidRPr="00FC2A9F" w:rsidRDefault="00DD77F4" w:rsidP="00DD77F4">
      <w:pPr>
        <w:pStyle w:val="ListParagraph"/>
        <w:numPr>
          <w:ilvl w:val="1"/>
          <w:numId w:val="1"/>
        </w:numPr>
        <w:spacing w:before="100" w:beforeAutospacing="1" w:after="100" w:afterAutospacing="1" w:line="240" w:lineRule="auto"/>
        <w:jc w:val="both"/>
        <w:rPr>
          <w:rFonts w:eastAsia="Times New Roman" w:cs="Times New Roman"/>
          <w:sz w:val="19"/>
          <w:szCs w:val="19"/>
          <w:lang/>
        </w:rPr>
      </w:pPr>
      <w:r w:rsidRPr="00FC2A9F">
        <w:rPr>
          <w:rFonts w:eastAsia="Times New Roman" w:cs="Times New Roman"/>
          <w:sz w:val="19"/>
          <w:szCs w:val="19"/>
          <w:lang/>
        </w:rPr>
        <w:t xml:space="preserve">Any school teacher or school authority, social worker, psychologist, attorney, peace officer, coroner, or residents’ rights advocate as defined in section </w:t>
      </w:r>
      <w:hyperlink r:id="rId7" w:tooltip="3721.10" w:history="1">
        <w:r w:rsidRPr="00FC2A9F">
          <w:rPr>
            <w:rFonts w:eastAsia="Times New Roman" w:cs="Times New Roman"/>
            <w:color w:val="00008B"/>
            <w:sz w:val="19"/>
            <w:u w:val="single"/>
            <w:lang/>
          </w:rPr>
          <w:t>3721.10</w:t>
        </w:r>
      </w:hyperlink>
      <w:r w:rsidRPr="00FC2A9F">
        <w:rPr>
          <w:rFonts w:eastAsia="Times New Roman" w:cs="Times New Roman"/>
          <w:sz w:val="19"/>
          <w:szCs w:val="19"/>
          <w:lang/>
        </w:rPr>
        <w:t xml:space="preserve"> of the Revised Code;</w:t>
      </w:r>
    </w:p>
    <w:p w:rsidR="00DD77F4" w:rsidRPr="00FC2A9F" w:rsidRDefault="00DD77F4" w:rsidP="00DD77F4">
      <w:pPr>
        <w:pStyle w:val="ListParagraph"/>
        <w:numPr>
          <w:ilvl w:val="1"/>
          <w:numId w:val="1"/>
        </w:numPr>
        <w:spacing w:before="100" w:beforeAutospacing="1" w:after="100" w:afterAutospacing="1" w:line="240" w:lineRule="auto"/>
        <w:jc w:val="both"/>
        <w:rPr>
          <w:rFonts w:eastAsia="Times New Roman" w:cs="Times New Roman"/>
          <w:sz w:val="19"/>
          <w:szCs w:val="19"/>
          <w:lang/>
        </w:rPr>
      </w:pPr>
      <w:r w:rsidRPr="00FC2A9F">
        <w:rPr>
          <w:rFonts w:eastAsia="Times New Roman" w:cs="Times New Roman"/>
          <w:sz w:val="19"/>
          <w:szCs w:val="19"/>
          <w:lang/>
        </w:rPr>
        <w:t xml:space="preserve"> A superintendent, board member, or employee of a county board of developmental disabilities; an administrator, board member, or employee of a residential facility licensed under section </w:t>
      </w:r>
      <w:hyperlink r:id="rId8" w:tooltip="5123.19" w:history="1">
        <w:r w:rsidRPr="00FC2A9F">
          <w:rPr>
            <w:rFonts w:eastAsia="Times New Roman" w:cs="Times New Roman"/>
            <w:color w:val="00008B"/>
            <w:sz w:val="19"/>
            <w:u w:val="single"/>
            <w:lang/>
          </w:rPr>
          <w:t>5123.19</w:t>
        </w:r>
      </w:hyperlink>
      <w:r w:rsidRPr="00FC2A9F">
        <w:rPr>
          <w:rFonts w:eastAsia="Times New Roman" w:cs="Times New Roman"/>
          <w:sz w:val="19"/>
          <w:szCs w:val="19"/>
          <w:lang/>
        </w:rPr>
        <w:t xml:space="preserve"> of the Revised Code; an administrator, board member, or employee of any other public or private provider of services to a person with mental retardation or a developmental disability, or any MR/DD employee, as defined in section </w:t>
      </w:r>
      <w:hyperlink r:id="rId9" w:tooltip="5123.50" w:history="1">
        <w:r w:rsidRPr="00FC2A9F">
          <w:rPr>
            <w:rFonts w:eastAsia="Times New Roman" w:cs="Times New Roman"/>
            <w:color w:val="00008B"/>
            <w:sz w:val="19"/>
            <w:u w:val="single"/>
            <w:lang/>
          </w:rPr>
          <w:t>5123.50</w:t>
        </w:r>
      </w:hyperlink>
      <w:r w:rsidRPr="00FC2A9F">
        <w:rPr>
          <w:rFonts w:eastAsia="Times New Roman" w:cs="Times New Roman"/>
          <w:sz w:val="19"/>
          <w:szCs w:val="19"/>
          <w:lang/>
        </w:rPr>
        <w:t xml:space="preserve"> of the Revised Code;</w:t>
      </w:r>
    </w:p>
    <w:p w:rsidR="00DD77F4" w:rsidRPr="00FC2A9F" w:rsidRDefault="00DD77F4" w:rsidP="00DD77F4">
      <w:pPr>
        <w:pStyle w:val="ListParagraph"/>
        <w:numPr>
          <w:ilvl w:val="1"/>
          <w:numId w:val="1"/>
        </w:numPr>
        <w:spacing w:before="100" w:beforeAutospacing="1" w:after="100" w:afterAutospacing="1" w:line="240" w:lineRule="auto"/>
        <w:jc w:val="both"/>
        <w:rPr>
          <w:rFonts w:eastAsia="Times New Roman" w:cs="Times New Roman"/>
          <w:sz w:val="19"/>
          <w:szCs w:val="19"/>
          <w:lang/>
        </w:rPr>
      </w:pPr>
      <w:r w:rsidRPr="00FC2A9F">
        <w:rPr>
          <w:rFonts w:eastAsia="Times New Roman" w:cs="Times New Roman"/>
          <w:sz w:val="19"/>
          <w:szCs w:val="19"/>
          <w:lang/>
        </w:rPr>
        <w:t xml:space="preserve"> A member of a citizen’s advisory council established at an institution or branch institution of the department of developmental disabilities under section </w:t>
      </w:r>
      <w:hyperlink r:id="rId10" w:tooltip="5123.092" w:history="1">
        <w:r w:rsidRPr="00FC2A9F">
          <w:rPr>
            <w:rFonts w:eastAsia="Times New Roman" w:cs="Times New Roman"/>
            <w:color w:val="00008B"/>
            <w:sz w:val="19"/>
            <w:u w:val="single"/>
            <w:lang/>
          </w:rPr>
          <w:t>5123.092</w:t>
        </w:r>
      </w:hyperlink>
      <w:r w:rsidRPr="00FC2A9F">
        <w:rPr>
          <w:rFonts w:eastAsia="Times New Roman" w:cs="Times New Roman"/>
          <w:sz w:val="19"/>
          <w:szCs w:val="19"/>
          <w:lang/>
        </w:rPr>
        <w:t xml:space="preserve"> of the Revised Code;</w:t>
      </w:r>
    </w:p>
    <w:p w:rsidR="00DD77F4" w:rsidRPr="00FC2A9F" w:rsidRDefault="00DD77F4" w:rsidP="00DD77F4">
      <w:pPr>
        <w:pStyle w:val="ListParagraph"/>
        <w:numPr>
          <w:ilvl w:val="1"/>
          <w:numId w:val="1"/>
        </w:numPr>
        <w:spacing w:before="100" w:beforeAutospacing="1" w:after="100" w:afterAutospacing="1" w:line="240" w:lineRule="auto"/>
        <w:jc w:val="both"/>
        <w:rPr>
          <w:rFonts w:eastAsia="Times New Roman" w:cs="Times New Roman"/>
          <w:sz w:val="19"/>
          <w:szCs w:val="19"/>
          <w:lang/>
        </w:rPr>
      </w:pPr>
      <w:r w:rsidRPr="00FC2A9F">
        <w:rPr>
          <w:rFonts w:eastAsia="Times New Roman" w:cs="Times New Roman"/>
          <w:sz w:val="19"/>
          <w:szCs w:val="19"/>
          <w:lang/>
        </w:rPr>
        <w:t xml:space="preserve"> A clergyman who is employed in a position that includes providing specialized services to an individual with mental retardation or another developmental disability, while acting in an official or professional capacity in that position, or a person who is employed in a position that includes providing specialized services to an individual with mental retardation or another developmental disability and who, while acting in an official or professional capacity, renders spiritual </w:t>
      </w:r>
      <w:proofErr w:type="gramStart"/>
      <w:r w:rsidRPr="00FC2A9F">
        <w:rPr>
          <w:rFonts w:eastAsia="Times New Roman" w:cs="Times New Roman"/>
          <w:sz w:val="19"/>
          <w:szCs w:val="19"/>
          <w:lang/>
        </w:rPr>
        <w:t>treatment</w:t>
      </w:r>
      <w:proofErr w:type="gramEnd"/>
      <w:r w:rsidRPr="00FC2A9F">
        <w:rPr>
          <w:rFonts w:eastAsia="Times New Roman" w:cs="Times New Roman"/>
          <w:sz w:val="19"/>
          <w:szCs w:val="19"/>
          <w:lang/>
        </w:rPr>
        <w:t xml:space="preserve"> through prayer in accordance with the tenets of an organized religion.</w:t>
      </w:r>
    </w:p>
    <w:p w:rsidR="00DD77F4" w:rsidRPr="00FC2A9F" w:rsidRDefault="00DD77F4" w:rsidP="00DD77F4">
      <w:pPr>
        <w:pStyle w:val="ListParagraph"/>
      </w:pPr>
    </w:p>
    <w:p w:rsidR="00DD77F4" w:rsidRPr="00FC2A9F" w:rsidRDefault="00DD77F4" w:rsidP="00DD77F4">
      <w:pPr>
        <w:pStyle w:val="ListParagraph"/>
        <w:numPr>
          <w:ilvl w:val="0"/>
          <w:numId w:val="1"/>
        </w:numPr>
        <w:spacing w:before="100" w:beforeAutospacing="1" w:after="100" w:afterAutospacing="1" w:line="240" w:lineRule="auto"/>
        <w:rPr>
          <w:color w:val="000000"/>
          <w:sz w:val="21"/>
          <w:szCs w:val="21"/>
        </w:rPr>
      </w:pPr>
      <w:r w:rsidRPr="00FC2A9F">
        <w:t xml:space="preserve"> </w:t>
      </w:r>
      <w:r w:rsidR="00E61B4A" w:rsidRPr="00FC2A9F">
        <w:t>Identify one ‘Caregiver Support’ resource and provide an explanation on how they support the caregiver.</w:t>
      </w:r>
      <w:r w:rsidRPr="00FC2A9F">
        <w:rPr>
          <w:color w:val="000000"/>
          <w:sz w:val="21"/>
          <w:szCs w:val="21"/>
        </w:rPr>
        <w:t xml:space="preserve"> </w:t>
      </w:r>
      <w:hyperlink r:id="rId11" w:tgtFrame="_blank" w:tooltip="External link to the National Organization For Empowering   Caregivers Website" w:history="1">
        <w:r w:rsidRPr="00FC2A9F">
          <w:rPr>
            <w:rStyle w:val="Hyperlink"/>
          </w:rPr>
          <w:t>National Organization For Empowering Caregivers (NOFEC</w:t>
        </w:r>
        <w:proofErr w:type="gramStart"/>
        <w:r w:rsidRPr="00FC2A9F">
          <w:rPr>
            <w:rStyle w:val="Hyperlink"/>
          </w:rPr>
          <w:t>)</w:t>
        </w:r>
        <w:proofErr w:type="gramEnd"/>
      </w:hyperlink>
      <w:r w:rsidRPr="00FC2A9F">
        <w:rPr>
          <w:color w:val="000000"/>
          <w:sz w:val="21"/>
          <w:szCs w:val="21"/>
        </w:rPr>
        <w:br/>
        <w:t xml:space="preserve">NOFEC is a non-profit New York-based organization whose stated mission is to provide assistance, education, support, and referrals for informal family caregivers, as well to promote public awareness about the realities of </w:t>
      </w:r>
      <w:proofErr w:type="spellStart"/>
      <w:r w:rsidRPr="00FC2A9F">
        <w:rPr>
          <w:color w:val="000000"/>
          <w:sz w:val="21"/>
          <w:szCs w:val="21"/>
        </w:rPr>
        <w:t>caregiving</w:t>
      </w:r>
      <w:proofErr w:type="spellEnd"/>
      <w:r w:rsidRPr="00FC2A9F">
        <w:rPr>
          <w:color w:val="000000"/>
          <w:sz w:val="21"/>
          <w:szCs w:val="21"/>
        </w:rPr>
        <w:t xml:space="preserve">. Links to support groups, seminars, counseling, and respite care resources. </w:t>
      </w:r>
    </w:p>
    <w:p w:rsidR="00E61B4A" w:rsidRPr="00FC2A9F" w:rsidRDefault="00E61B4A" w:rsidP="00DD77F4">
      <w:pPr>
        <w:pStyle w:val="ListParagraph"/>
        <w:ind w:left="630"/>
      </w:pPr>
    </w:p>
    <w:p w:rsidR="00240016" w:rsidRPr="00FC2A9F" w:rsidRDefault="00240016" w:rsidP="00240016">
      <w:pPr>
        <w:pStyle w:val="ListParagraph"/>
        <w:numPr>
          <w:ilvl w:val="0"/>
          <w:numId w:val="1"/>
        </w:numPr>
      </w:pPr>
      <w:r w:rsidRPr="00FC2A9F">
        <w:t xml:space="preserve">The National Center on Elder Abuse has a fact sheet on ‘Why Should I Care </w:t>
      </w:r>
      <w:proofErr w:type="gramStart"/>
      <w:r w:rsidRPr="00FC2A9F">
        <w:t>About</w:t>
      </w:r>
      <w:proofErr w:type="gramEnd"/>
      <w:r w:rsidRPr="00FC2A9F">
        <w:t xml:space="preserve"> Elder Abuse?”.  Identify an intervention that you would be able to use as the nurse caring for an Elderly Adult who might be at risk of abuse.</w:t>
      </w:r>
    </w:p>
    <w:p w:rsidR="00FC2A9F" w:rsidRPr="00FC2A9F" w:rsidRDefault="00FC2A9F" w:rsidP="00FC2A9F">
      <w:pPr>
        <w:pStyle w:val="ListParagraph"/>
      </w:pPr>
    </w:p>
    <w:p w:rsidR="00FC2A9F" w:rsidRPr="00FC2A9F" w:rsidRDefault="00FC2A9F" w:rsidP="00FC2A9F">
      <w:pPr>
        <w:pStyle w:val="Default"/>
        <w:rPr>
          <w:rFonts w:asciiTheme="minorHAnsi" w:hAnsiTheme="minorHAnsi"/>
        </w:rPr>
      </w:pPr>
    </w:p>
    <w:p w:rsidR="00FC2A9F" w:rsidRPr="00FC2A9F" w:rsidRDefault="00FC2A9F" w:rsidP="00FC2A9F">
      <w:pPr>
        <w:pStyle w:val="Default"/>
        <w:rPr>
          <w:rFonts w:asciiTheme="minorHAnsi" w:hAnsiTheme="minorHAnsi"/>
          <w:sz w:val="22"/>
          <w:szCs w:val="22"/>
        </w:rPr>
      </w:pPr>
      <w:r w:rsidRPr="00FC2A9F">
        <w:rPr>
          <w:rFonts w:asciiTheme="minorHAnsi" w:hAnsiTheme="minorHAnsi"/>
          <w:i/>
          <w:iCs/>
          <w:sz w:val="22"/>
          <w:szCs w:val="22"/>
        </w:rPr>
        <w:lastRenderedPageBreak/>
        <w:t xml:space="preserve">Be aware of the possibility of abuse </w:t>
      </w:r>
      <w:r w:rsidRPr="00FC2A9F">
        <w:rPr>
          <w:rFonts w:asciiTheme="minorHAnsi" w:hAnsiTheme="minorHAnsi"/>
          <w:sz w:val="22"/>
          <w:szCs w:val="22"/>
        </w:rPr>
        <w:t xml:space="preserve">– Look around and take note of what may be happening with your older neighbors and acquaintances. Do they seem lately to be withdrawn, nervous, fearful, sad, or anxious, especially around certain people, when they have not seemed so in the past? </w:t>
      </w:r>
    </w:p>
    <w:p w:rsidR="00FC2A9F" w:rsidRPr="00240016" w:rsidRDefault="00FC2A9F" w:rsidP="00FC2A9F">
      <w:pPr>
        <w:pStyle w:val="ListParagraph"/>
        <w:ind w:left="630"/>
      </w:pPr>
    </w:p>
    <w:p w:rsidR="00240016" w:rsidRPr="00240016" w:rsidRDefault="00240016" w:rsidP="00240016">
      <w:pPr>
        <w:pStyle w:val="ListParagraph"/>
      </w:pPr>
    </w:p>
    <w:sectPr w:rsidR="00240016" w:rsidRPr="00240016" w:rsidSect="00F55E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769AF"/>
    <w:multiLevelType w:val="multilevel"/>
    <w:tmpl w:val="6B5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03DB6"/>
    <w:multiLevelType w:val="hybridMultilevel"/>
    <w:tmpl w:val="0C72D54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4352B"/>
    <w:multiLevelType w:val="multilevel"/>
    <w:tmpl w:val="FE50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91B8C"/>
    <w:multiLevelType w:val="multilevel"/>
    <w:tmpl w:val="FDF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456BB"/>
    <w:multiLevelType w:val="multilevel"/>
    <w:tmpl w:val="FEC6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E5DD4"/>
    <w:multiLevelType w:val="multilevel"/>
    <w:tmpl w:val="BAF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0E0E4D"/>
    <w:multiLevelType w:val="hybridMultilevel"/>
    <w:tmpl w:val="96A0E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AD00B03"/>
    <w:multiLevelType w:val="multilevel"/>
    <w:tmpl w:val="2C4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61F06"/>
    <w:multiLevelType w:val="multilevel"/>
    <w:tmpl w:val="B39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420379"/>
    <w:multiLevelType w:val="multilevel"/>
    <w:tmpl w:val="E19E17E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
  </w:num>
  <w:num w:numId="2">
    <w:abstractNumId w:val="6"/>
  </w:num>
  <w:num w:numId="3">
    <w:abstractNumId w:val="8"/>
  </w:num>
  <w:num w:numId="4">
    <w:abstractNumId w:val="9"/>
  </w:num>
  <w:num w:numId="5">
    <w:abstractNumId w:val="3"/>
  </w:num>
  <w:num w:numId="6">
    <w:abstractNumId w:val="0"/>
  </w:num>
  <w:num w:numId="7">
    <w:abstractNumId w:val="7"/>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5"/>
  <w:drawingGridVerticalSpacing w:val="1152"/>
  <w:displayHorizontalDrawingGridEvery w:val="2"/>
  <w:doNotUseMarginsForDrawingGridOrigin/>
  <w:drawingGridHorizontalOrigin w:val="1440"/>
  <w:drawingGridVerticalOrigin w:val="1440"/>
  <w:characterSpacingControl w:val="doNotCompress"/>
  <w:compat/>
  <w:rsids>
    <w:rsidRoot w:val="00771B33"/>
    <w:rsid w:val="000139CF"/>
    <w:rsid w:val="000259CF"/>
    <w:rsid w:val="00053F73"/>
    <w:rsid w:val="00240016"/>
    <w:rsid w:val="002E2F74"/>
    <w:rsid w:val="003A2449"/>
    <w:rsid w:val="005D672F"/>
    <w:rsid w:val="00771B33"/>
    <w:rsid w:val="008272EE"/>
    <w:rsid w:val="008331BA"/>
    <w:rsid w:val="00A7363E"/>
    <w:rsid w:val="00DD77F4"/>
    <w:rsid w:val="00E61B4A"/>
    <w:rsid w:val="00E86FAB"/>
    <w:rsid w:val="00F55E20"/>
    <w:rsid w:val="00FC2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33"/>
    <w:pPr>
      <w:ind w:left="720"/>
      <w:contextualSpacing/>
    </w:pPr>
  </w:style>
  <w:style w:type="character" w:styleId="Hyperlink">
    <w:name w:val="Hyperlink"/>
    <w:basedOn w:val="DefaultParagraphFont"/>
    <w:uiPriority w:val="99"/>
    <w:semiHidden/>
    <w:unhideWhenUsed/>
    <w:rsid w:val="00DD77F4"/>
    <w:rPr>
      <w:color w:val="00008B"/>
      <w:u w:val="single"/>
    </w:rPr>
  </w:style>
  <w:style w:type="paragraph" w:customStyle="1" w:styleId="Default">
    <w:name w:val="Default"/>
    <w:rsid w:val="00FC2A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68328399">
      <w:bodyDiv w:val="1"/>
      <w:marLeft w:val="0"/>
      <w:marRight w:val="0"/>
      <w:marTop w:val="0"/>
      <w:marBottom w:val="0"/>
      <w:divBdr>
        <w:top w:val="none" w:sz="0" w:space="0" w:color="auto"/>
        <w:left w:val="none" w:sz="0" w:space="0" w:color="auto"/>
        <w:bottom w:val="none" w:sz="0" w:space="0" w:color="auto"/>
        <w:right w:val="none" w:sz="0" w:space="0" w:color="auto"/>
      </w:divBdr>
      <w:divsChild>
        <w:div w:id="1347632447">
          <w:marLeft w:val="0"/>
          <w:marRight w:val="-5040"/>
          <w:marTop w:val="0"/>
          <w:marBottom w:val="0"/>
          <w:divBdr>
            <w:top w:val="none" w:sz="0" w:space="0" w:color="auto"/>
            <w:left w:val="none" w:sz="0" w:space="0" w:color="auto"/>
            <w:bottom w:val="none" w:sz="0" w:space="0" w:color="auto"/>
            <w:right w:val="none" w:sz="0" w:space="0" w:color="auto"/>
          </w:divBdr>
          <w:divsChild>
            <w:div w:id="1969316099">
              <w:marLeft w:val="0"/>
              <w:marRight w:val="5040"/>
              <w:marTop w:val="0"/>
              <w:marBottom w:val="0"/>
              <w:divBdr>
                <w:top w:val="none" w:sz="0" w:space="0" w:color="auto"/>
                <w:left w:val="none" w:sz="0" w:space="0" w:color="auto"/>
                <w:bottom w:val="none" w:sz="0" w:space="0" w:color="auto"/>
                <w:right w:val="none" w:sz="0" w:space="0" w:color="auto"/>
              </w:divBdr>
              <w:divsChild>
                <w:div w:id="13640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5123.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des.ohio.gov/orc/372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es.ohio.gov/orc/5101.61" TargetMode="External"/><Relationship Id="rId11" Type="http://schemas.openxmlformats.org/officeDocument/2006/relationships/hyperlink" Target="http://www.nofec.org/" TargetMode="External"/><Relationship Id="rId5" Type="http://schemas.openxmlformats.org/officeDocument/2006/relationships/hyperlink" Target="http://codes.ohio.gov/orc/4731.15" TargetMode="External"/><Relationship Id="rId10" Type="http://schemas.openxmlformats.org/officeDocument/2006/relationships/hyperlink" Target="http://codes.ohio.gov/orc/5123.092" TargetMode="External"/><Relationship Id="rId4" Type="http://schemas.openxmlformats.org/officeDocument/2006/relationships/webSettings" Target="webSettings.xml"/><Relationship Id="rId9" Type="http://schemas.openxmlformats.org/officeDocument/2006/relationships/hyperlink" Target="http://codes.ohio.gov/orc/512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Vanderpool</dc:creator>
  <cp:lastModifiedBy>admin</cp:lastModifiedBy>
  <cp:revision>2</cp:revision>
  <dcterms:created xsi:type="dcterms:W3CDTF">2012-05-20T20:53:00Z</dcterms:created>
  <dcterms:modified xsi:type="dcterms:W3CDTF">2012-05-20T20:53:00Z</dcterms:modified>
</cp:coreProperties>
</file>