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DF" w:rsidRPr="009D39A5" w:rsidRDefault="005007B0" w:rsidP="005007B0">
      <w:pPr>
        <w:jc w:val="center"/>
        <w:rPr>
          <w:sz w:val="20"/>
          <w:szCs w:val="20"/>
        </w:rPr>
      </w:pPr>
      <w:r w:rsidRPr="009D39A5">
        <w:rPr>
          <w:b/>
          <w:sz w:val="20"/>
          <w:szCs w:val="20"/>
          <w:u w:val="single"/>
        </w:rPr>
        <w:t>Acquired Cardiovascular Disorders</w:t>
      </w:r>
    </w:p>
    <w:p w:rsidR="005007B0" w:rsidRPr="009D39A5" w:rsidRDefault="005007B0" w:rsidP="005007B0">
      <w:pPr>
        <w:jc w:val="center"/>
        <w:rPr>
          <w:sz w:val="20"/>
          <w:szCs w:val="20"/>
        </w:rPr>
      </w:pPr>
    </w:p>
    <w:p w:rsidR="005007B0" w:rsidRPr="009D39A5" w:rsidRDefault="005007B0" w:rsidP="005007B0">
      <w:pPr>
        <w:rPr>
          <w:sz w:val="20"/>
          <w:szCs w:val="20"/>
        </w:rPr>
      </w:pPr>
      <w:r w:rsidRPr="009D39A5">
        <w:rPr>
          <w:b/>
          <w:sz w:val="20"/>
          <w:szCs w:val="20"/>
          <w:u w:val="single"/>
        </w:rPr>
        <w:t xml:space="preserve">Bacterial Endocarditis: 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An infection of the valves and inner lining of the heart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Most common in a sequel of bacteremia in the child with acquired or congenital anomalies of the heart or greater vessels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Most common agent is strep</w:t>
      </w:r>
    </w:p>
    <w:p w:rsidR="005007B0" w:rsidRPr="009D39A5" w:rsidRDefault="005007B0" w:rsidP="005007B0">
      <w:pPr>
        <w:ind w:left="360"/>
        <w:rPr>
          <w:sz w:val="20"/>
          <w:szCs w:val="20"/>
        </w:rPr>
      </w:pPr>
      <w:proofErr w:type="spellStart"/>
      <w:r w:rsidRPr="009D39A5">
        <w:rPr>
          <w:sz w:val="20"/>
          <w:szCs w:val="20"/>
        </w:rPr>
        <w:t>Patho</w:t>
      </w:r>
      <w:proofErr w:type="spellEnd"/>
      <w:r w:rsidRPr="009D39A5">
        <w:rPr>
          <w:sz w:val="20"/>
          <w:szCs w:val="20"/>
        </w:rPr>
        <w:t>: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Organisms enter blood stream from any site of localized infection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Invasive procedures (GI tract, cardiac surgery with synthetic material), dental work, indwelling catheter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Microorganism grow on endocardium, forming vegetation, deposits of fibrin, and platelet thrombi</w:t>
      </w:r>
    </w:p>
    <w:p w:rsidR="005007B0" w:rsidRPr="009D39A5" w:rsidRDefault="005007B0" w:rsidP="005007B0">
      <w:pPr>
        <w:ind w:left="360"/>
        <w:rPr>
          <w:sz w:val="20"/>
          <w:szCs w:val="20"/>
        </w:rPr>
      </w:pPr>
      <w:r w:rsidRPr="009D39A5">
        <w:rPr>
          <w:sz w:val="20"/>
          <w:szCs w:val="20"/>
        </w:rPr>
        <w:t>Clinical Manifestations: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Onset usually insidious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Unexplained fever ( low grade and intermittent)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Anorexia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Malaise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Weight loss</w:t>
      </w:r>
    </w:p>
    <w:p w:rsidR="005007B0" w:rsidRPr="009D39A5" w:rsidRDefault="009D39A5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 xml:space="preserve">Findings cause by </w:t>
      </w:r>
      <w:proofErr w:type="spellStart"/>
      <w:r w:rsidRPr="009D39A5">
        <w:rPr>
          <w:sz w:val="20"/>
          <w:szCs w:val="20"/>
        </w:rPr>
        <w:t>extracardic</w:t>
      </w:r>
      <w:proofErr w:type="spellEnd"/>
      <w:r w:rsidRPr="009D39A5">
        <w:rPr>
          <w:sz w:val="20"/>
          <w:szCs w:val="20"/>
        </w:rPr>
        <w:t xml:space="preserve"> emboli formation; splinter hemorrhages (thin black lines) under the nails, </w:t>
      </w:r>
      <w:proofErr w:type="spellStart"/>
      <w:r w:rsidRPr="009D39A5">
        <w:rPr>
          <w:sz w:val="20"/>
          <w:szCs w:val="20"/>
        </w:rPr>
        <w:t>osler</w:t>
      </w:r>
      <w:proofErr w:type="spellEnd"/>
      <w:r w:rsidRPr="009D39A5">
        <w:rPr>
          <w:sz w:val="20"/>
          <w:szCs w:val="20"/>
        </w:rPr>
        <w:t xml:space="preserve"> nodes (red, painful, intradermal nodes found on pads of phalanges) </w:t>
      </w:r>
      <w:proofErr w:type="spellStart"/>
      <w:r w:rsidRPr="009D39A5">
        <w:rPr>
          <w:sz w:val="20"/>
          <w:szCs w:val="20"/>
        </w:rPr>
        <w:t>Janeway</w:t>
      </w:r>
      <w:proofErr w:type="spellEnd"/>
      <w:r w:rsidRPr="009D39A5">
        <w:rPr>
          <w:sz w:val="20"/>
          <w:szCs w:val="20"/>
        </w:rPr>
        <w:t xml:space="preserve"> lesions (painless hemorrhagic areas on the palms and soles), </w:t>
      </w:r>
      <w:proofErr w:type="spellStart"/>
      <w:r w:rsidRPr="009D39A5">
        <w:rPr>
          <w:sz w:val="20"/>
          <w:szCs w:val="20"/>
        </w:rPr>
        <w:t>petechiae</w:t>
      </w:r>
      <w:proofErr w:type="spellEnd"/>
      <w:r w:rsidRPr="009D39A5">
        <w:rPr>
          <w:sz w:val="20"/>
          <w:szCs w:val="20"/>
        </w:rPr>
        <w:t xml:space="preserve"> on oral mucus membranes </w:t>
      </w:r>
    </w:p>
    <w:p w:rsidR="009D39A5" w:rsidRPr="009D39A5" w:rsidRDefault="009D39A5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May be present; congestive heart failure, cardiac dysrhythmias, new murmur or change in existing one</w:t>
      </w:r>
    </w:p>
    <w:p w:rsidR="005007B0" w:rsidRPr="009D39A5" w:rsidRDefault="005007B0" w:rsidP="009D39A5">
      <w:pPr>
        <w:ind w:firstLine="360"/>
        <w:rPr>
          <w:sz w:val="20"/>
          <w:szCs w:val="20"/>
        </w:rPr>
      </w:pPr>
      <w:r w:rsidRPr="009D39A5">
        <w:rPr>
          <w:sz w:val="20"/>
          <w:szCs w:val="20"/>
        </w:rPr>
        <w:t>Diagnostics: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 xml:space="preserve">Based on clinical </w:t>
      </w:r>
      <w:proofErr w:type="spellStart"/>
      <w:r w:rsidRPr="009D39A5">
        <w:rPr>
          <w:sz w:val="20"/>
          <w:szCs w:val="20"/>
        </w:rPr>
        <w:t>mani</w:t>
      </w:r>
      <w:proofErr w:type="spellEnd"/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ECG changes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Anemia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>Elevated erythrocytes sedimentation rate</w:t>
      </w:r>
    </w:p>
    <w:p w:rsidR="005007B0" w:rsidRPr="009D39A5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 xml:space="preserve">Leukocytosis </w:t>
      </w:r>
    </w:p>
    <w:p w:rsidR="005007B0" w:rsidRDefault="005007B0" w:rsidP="005007B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39A5">
        <w:rPr>
          <w:sz w:val="20"/>
          <w:szCs w:val="20"/>
        </w:rPr>
        <w:t xml:space="preserve">Radiographic evidence of cardiomegaly </w:t>
      </w:r>
    </w:p>
    <w:p w:rsidR="009D39A5" w:rsidRDefault="009D39A5" w:rsidP="009D39A5">
      <w:pPr>
        <w:ind w:left="360"/>
        <w:rPr>
          <w:sz w:val="20"/>
          <w:szCs w:val="20"/>
        </w:rPr>
      </w:pPr>
      <w:r>
        <w:rPr>
          <w:sz w:val="20"/>
          <w:szCs w:val="20"/>
        </w:rPr>
        <w:t>Therapeutic management:</w:t>
      </w:r>
    </w:p>
    <w:p w:rsidR="009D39A5" w:rsidRDefault="009D39A5" w:rsidP="009D39A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Treatment should be instituted immediately and consist of admin of high doses of antibiotic IV for 2-8 weeks</w:t>
      </w:r>
    </w:p>
    <w:p w:rsidR="009D39A5" w:rsidRDefault="009D39A5" w:rsidP="009D39A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Blood cultures taken periodically to evaluate response of antibiotics</w:t>
      </w:r>
    </w:p>
    <w:p w:rsidR="009D39A5" w:rsidRDefault="009D39A5" w:rsidP="009D39A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Prevention involves admin of prophylactic antibiotic therapy 1 hour before procedures known to increase the risk of entry of organisms in very high risk patients </w:t>
      </w:r>
    </w:p>
    <w:p w:rsidR="00A536AF" w:rsidRDefault="00A536AF" w:rsidP="009D39A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Drug choice; amoxicillin, ampicillin, clindamycin, cephalexin, </w:t>
      </w:r>
      <w:proofErr w:type="spellStart"/>
      <w:r>
        <w:rPr>
          <w:sz w:val="20"/>
          <w:szCs w:val="20"/>
        </w:rPr>
        <w:t>cefadroxil</w:t>
      </w:r>
      <w:proofErr w:type="spellEnd"/>
      <w:r>
        <w:rPr>
          <w:sz w:val="20"/>
          <w:szCs w:val="20"/>
        </w:rPr>
        <w:t>, azithromycin, and clarithromycin</w:t>
      </w:r>
    </w:p>
    <w:p w:rsidR="00A536AF" w:rsidRDefault="00A536AF" w:rsidP="00A536AF">
      <w:pPr>
        <w:rPr>
          <w:sz w:val="20"/>
          <w:szCs w:val="20"/>
        </w:rPr>
      </w:pPr>
    </w:p>
    <w:p w:rsidR="00A536AF" w:rsidRDefault="00A536AF" w:rsidP="00A536AF">
      <w:pPr>
        <w:rPr>
          <w:sz w:val="20"/>
          <w:szCs w:val="20"/>
        </w:rPr>
      </w:pPr>
    </w:p>
    <w:p w:rsidR="00A536AF" w:rsidRDefault="0007135E" w:rsidP="00A536A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 Rheumatic </w:t>
      </w:r>
      <w:r w:rsidR="00E30B8C">
        <w:rPr>
          <w:b/>
          <w:sz w:val="20"/>
          <w:szCs w:val="20"/>
          <w:u w:val="single"/>
        </w:rPr>
        <w:t>fever:</w:t>
      </w:r>
    </w:p>
    <w:p w:rsidR="0007135E" w:rsidRDefault="0007135E" w:rsidP="000713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Inflammatory disease that occurs after infection with group A B-hemolytic streptococcal pharyngitis (GABHS)</w:t>
      </w:r>
    </w:p>
    <w:p w:rsidR="0007135E" w:rsidRDefault="0007135E" w:rsidP="000713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Often occurs in late childhood or adolescents and is rare in adults</w:t>
      </w:r>
    </w:p>
    <w:p w:rsidR="0007135E" w:rsidRDefault="0007135E" w:rsidP="000713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Self-limited illness that involves the joints,  </w:t>
      </w:r>
      <w:r w:rsidR="004D47B4">
        <w:rPr>
          <w:sz w:val="20"/>
          <w:szCs w:val="20"/>
        </w:rPr>
        <w:t>skin, brain, serous surface, and heart</w:t>
      </w:r>
    </w:p>
    <w:p w:rsidR="004D47B4" w:rsidRDefault="004D47B4" w:rsidP="000713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Cardiac valve damage (rheumatic heart disease) most significant complication </w:t>
      </w:r>
    </w:p>
    <w:p w:rsidR="004D47B4" w:rsidRDefault="004D47B4" w:rsidP="004D47B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Etiology: 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Upper respiratory infections with GABHS and subsequent development of RF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Acute RF is the result of an exaggerated immune response  to bacteria 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Prevention and treatment of GABHS infection prevents RF</w:t>
      </w:r>
    </w:p>
    <w:p w:rsidR="004D47B4" w:rsidRDefault="004D47B4" w:rsidP="004D47B4">
      <w:pPr>
        <w:rPr>
          <w:sz w:val="20"/>
          <w:szCs w:val="20"/>
        </w:rPr>
      </w:pPr>
      <w:r>
        <w:rPr>
          <w:sz w:val="20"/>
          <w:szCs w:val="20"/>
        </w:rPr>
        <w:t xml:space="preserve">      Diagnostics: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Fever and arthralgia with supportive evidence of recent strep infection 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Test for strep antibodies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Elevated or rising </w:t>
      </w:r>
      <w:proofErr w:type="spellStart"/>
      <w:r>
        <w:rPr>
          <w:sz w:val="20"/>
          <w:szCs w:val="20"/>
        </w:rPr>
        <w:t>antistreptolysi</w:t>
      </w:r>
      <w:proofErr w:type="spellEnd"/>
      <w:r>
        <w:rPr>
          <w:sz w:val="20"/>
          <w:szCs w:val="20"/>
        </w:rPr>
        <w:t xml:space="preserve"> titer </w:t>
      </w:r>
    </w:p>
    <w:p w:rsidR="004D47B4" w:rsidRDefault="004D47B4" w:rsidP="004D47B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Therapeutic </w:t>
      </w:r>
      <w:r w:rsidR="00E30B8C">
        <w:rPr>
          <w:sz w:val="20"/>
          <w:szCs w:val="20"/>
        </w:rPr>
        <w:t>management: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Eradication of hemolytic strep, prevention of permanent heart damage, palliation of other symptoms, prevention of recurrences of RF</w:t>
      </w:r>
    </w:p>
    <w:p w:rsidR="004D47B4" w:rsidRDefault="004D47B4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Penicillin drug of choice</w:t>
      </w:r>
    </w:p>
    <w:p w:rsidR="004D47B4" w:rsidRDefault="00E30B8C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Erythromycin for penicillin sensitivity  </w:t>
      </w:r>
    </w:p>
    <w:p w:rsidR="00E30B8C" w:rsidRDefault="00E30B8C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Salicylates to control inflammation, reduce fever, and discomfort </w:t>
      </w:r>
    </w:p>
    <w:p w:rsidR="00E30B8C" w:rsidRDefault="00E30B8C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Prophylactic treatment after acute therapy monthly or daily injections of penicillin, two oral doses daily, or sulfadiazine one dose daily </w:t>
      </w:r>
    </w:p>
    <w:p w:rsidR="00E30B8C" w:rsidRDefault="00E30B8C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Children who have had acute RF are susceptible to recurrent RF for the rest of their life </w:t>
      </w:r>
      <w:r w:rsidR="00EC763B">
        <w:rPr>
          <w:sz w:val="20"/>
          <w:szCs w:val="20"/>
        </w:rPr>
        <w:t>and should be followed medically for at least 5 years</w:t>
      </w:r>
    </w:p>
    <w:p w:rsidR="00E30B8C" w:rsidRDefault="00EC763B" w:rsidP="004D47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Repeated infections are likely to result in rheumatic heart disease</w:t>
      </w:r>
    </w:p>
    <w:p w:rsidR="00EC763B" w:rsidRDefault="00EC763B" w:rsidP="00EC763B">
      <w:pPr>
        <w:ind w:left="360"/>
        <w:jc w:val="center"/>
        <w:rPr>
          <w:b/>
          <w:sz w:val="20"/>
          <w:szCs w:val="20"/>
          <w:u w:val="single"/>
        </w:rPr>
      </w:pPr>
      <w:r w:rsidRPr="00EC763B">
        <w:rPr>
          <w:b/>
          <w:sz w:val="20"/>
          <w:szCs w:val="20"/>
          <w:u w:val="single"/>
        </w:rPr>
        <w:t>Vascular Dysfunction:</w:t>
      </w:r>
    </w:p>
    <w:p w:rsidR="00EC763B" w:rsidRDefault="00EC763B" w:rsidP="00EC763B">
      <w:pPr>
        <w:ind w:left="36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Kawasaki disease: </w:t>
      </w:r>
    </w:p>
    <w:p w:rsidR="00EC763B" w:rsidRDefault="00EC763B" w:rsidP="00EC76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 acute systemic vacuities of unknown cause</w:t>
      </w:r>
    </w:p>
    <w:p w:rsidR="00EC763B" w:rsidRDefault="00EC763B" w:rsidP="00EC76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Peak incidence in the toddler age group</w:t>
      </w:r>
    </w:p>
    <w:p w:rsidR="00EC763B" w:rsidRDefault="00EC763B" w:rsidP="00EC76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Disease is self-limited</w:t>
      </w:r>
    </w:p>
    <w:p w:rsidR="00EC763B" w:rsidRDefault="00EC763B" w:rsidP="00EC76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Without treatment 15-25% develop coronary artery aneurysms</w:t>
      </w:r>
    </w:p>
    <w:p w:rsidR="00794A81" w:rsidRDefault="00EC763B" w:rsidP="00EC76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Younger t</w:t>
      </w:r>
      <w:r w:rsidR="00794A81">
        <w:rPr>
          <w:sz w:val="20"/>
          <w:szCs w:val="20"/>
        </w:rPr>
        <w:t xml:space="preserve">han one most seriously affected and greatest risk of heart involvement </w:t>
      </w:r>
    </w:p>
    <w:p w:rsidR="00794A81" w:rsidRDefault="00794A81" w:rsidP="00794A81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Patho</w:t>
      </w:r>
      <w:proofErr w:type="spellEnd"/>
      <w:r>
        <w:rPr>
          <w:sz w:val="20"/>
          <w:szCs w:val="20"/>
        </w:rPr>
        <w:t>:</w:t>
      </w:r>
    </w:p>
    <w:p w:rsidR="00794A81" w:rsidRDefault="00794A81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Cardiovascular system</w:t>
      </w:r>
    </w:p>
    <w:p w:rsidR="00EC763B" w:rsidRDefault="00794A81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Initial stage of illness extensive inflammation of the arterioles, </w:t>
      </w:r>
      <w:proofErr w:type="spellStart"/>
      <w:r>
        <w:rPr>
          <w:sz w:val="20"/>
          <w:szCs w:val="20"/>
        </w:rPr>
        <w:t>venules</w:t>
      </w:r>
      <w:proofErr w:type="spellEnd"/>
      <w:r>
        <w:rPr>
          <w:sz w:val="20"/>
          <w:szCs w:val="20"/>
        </w:rPr>
        <w:t>, and capillaries occur</w:t>
      </w:r>
      <w:r w:rsidR="00EC763B" w:rsidRPr="00794A81">
        <w:rPr>
          <w:sz w:val="20"/>
          <w:szCs w:val="20"/>
        </w:rPr>
        <w:t xml:space="preserve">  </w:t>
      </w:r>
    </w:p>
    <w:p w:rsidR="00794A81" w:rsidRDefault="00794A81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Segmental damage to the medium-size muscular arteries, mainly the coronary arteries</w:t>
      </w:r>
    </w:p>
    <w:p w:rsidR="00794A81" w:rsidRDefault="00794A81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When death occurs its usually caused from myocardial ischemia from coronary thrombosis or over time severe scar formation and stenosis </w:t>
      </w:r>
    </w:p>
    <w:p w:rsidR="00794A81" w:rsidRDefault="00794A81" w:rsidP="00794A81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Clinical </w:t>
      </w:r>
      <w:proofErr w:type="spellStart"/>
      <w:proofErr w:type="gramStart"/>
      <w:r>
        <w:rPr>
          <w:sz w:val="20"/>
          <w:szCs w:val="20"/>
        </w:rPr>
        <w:t>mani</w:t>
      </w:r>
      <w:proofErr w:type="spellEnd"/>
      <w:proofErr w:type="gramEnd"/>
      <w:r>
        <w:rPr>
          <w:sz w:val="20"/>
          <w:szCs w:val="20"/>
        </w:rPr>
        <w:t>:</w:t>
      </w:r>
    </w:p>
    <w:p w:rsidR="00794A81" w:rsidRDefault="00794A81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Three phases; acute, </w:t>
      </w:r>
      <w:proofErr w:type="spellStart"/>
      <w:r>
        <w:rPr>
          <w:sz w:val="20"/>
          <w:szCs w:val="20"/>
        </w:rPr>
        <w:t>subacute</w:t>
      </w:r>
      <w:proofErr w:type="spellEnd"/>
      <w:r>
        <w:rPr>
          <w:sz w:val="20"/>
          <w:szCs w:val="20"/>
        </w:rPr>
        <w:t xml:space="preserve"> and convalescent </w:t>
      </w:r>
    </w:p>
    <w:p w:rsidR="00794A81" w:rsidRPr="00794A81" w:rsidRDefault="00406934" w:rsidP="00794A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Acute: </w:t>
      </w:r>
      <w:bookmarkStart w:id="0" w:name="_GoBack"/>
      <w:bookmarkEnd w:id="0"/>
    </w:p>
    <w:sectPr w:rsidR="00794A81" w:rsidRPr="00794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86E9B"/>
    <w:multiLevelType w:val="hybridMultilevel"/>
    <w:tmpl w:val="FB2EB9F8"/>
    <w:lvl w:ilvl="0" w:tplc="63E0E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B0"/>
    <w:rsid w:val="0007135E"/>
    <w:rsid w:val="002A550F"/>
    <w:rsid w:val="00406934"/>
    <w:rsid w:val="004D47B4"/>
    <w:rsid w:val="005007B0"/>
    <w:rsid w:val="00794A81"/>
    <w:rsid w:val="009D39A5"/>
    <w:rsid w:val="00A536AF"/>
    <w:rsid w:val="00BA6BDF"/>
    <w:rsid w:val="00E30B8C"/>
    <w:rsid w:val="00E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3</cp:revision>
  <dcterms:created xsi:type="dcterms:W3CDTF">2012-11-09T17:59:00Z</dcterms:created>
  <dcterms:modified xsi:type="dcterms:W3CDTF">2012-11-10T14:32:00Z</dcterms:modified>
</cp:coreProperties>
</file>