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68F" w:rsidRDefault="00295399" w:rsidP="00295399">
      <w:pPr>
        <w:jc w:val="center"/>
      </w:pPr>
      <w:r>
        <w:t>Recommendations for the Integration of EBP at FRMC</w:t>
      </w:r>
    </w:p>
    <w:p w:rsidR="00295399" w:rsidRDefault="00295399" w:rsidP="00295399">
      <w:r>
        <w:tab/>
        <w:t xml:space="preserve">A thorough literature review has been conducted regarding the integration of evidence-based practice (EBP) into nursing departments.  Two </w:t>
      </w:r>
      <w:r w:rsidR="00C91AEA">
        <w:t>experts who work in acute care facilities who</w:t>
      </w:r>
      <w:r>
        <w:t xml:space="preserve"> have successfully integrated EBP into thei</w:t>
      </w:r>
      <w:r w:rsidR="00C91AEA">
        <w:t xml:space="preserve">r nursing departments have given their </w:t>
      </w:r>
      <w:r>
        <w:t>opinion on the topic.  The following is a recommendation of steps needed to integrate EBP into the nursing department of FRMC.</w:t>
      </w:r>
    </w:p>
    <w:p w:rsidR="00104BC9" w:rsidRDefault="00104BC9" w:rsidP="00295399">
      <w:pPr>
        <w:pStyle w:val="ListParagraph"/>
        <w:numPr>
          <w:ilvl w:val="0"/>
          <w:numId w:val="1"/>
        </w:numPr>
      </w:pPr>
      <w:r>
        <w:t>Identify barriers to the implementation of EBP into the nursing department</w:t>
      </w:r>
      <w:r w:rsidR="00173622">
        <w:t xml:space="preserve"> at FRMC.</w:t>
      </w:r>
    </w:p>
    <w:p w:rsidR="00295399" w:rsidRDefault="00295399" w:rsidP="00295399">
      <w:pPr>
        <w:pStyle w:val="ListParagraph"/>
        <w:numPr>
          <w:ilvl w:val="0"/>
          <w:numId w:val="1"/>
        </w:numPr>
      </w:pPr>
      <w:r>
        <w:t>Gain support from leadership</w:t>
      </w:r>
      <w:r w:rsidR="00173622">
        <w:t>.</w:t>
      </w:r>
    </w:p>
    <w:p w:rsidR="005173D1" w:rsidRDefault="005173D1" w:rsidP="00295399">
      <w:pPr>
        <w:pStyle w:val="ListParagraph"/>
        <w:numPr>
          <w:ilvl w:val="0"/>
          <w:numId w:val="1"/>
        </w:numPr>
      </w:pPr>
      <w:r>
        <w:t>Identify short and long-term goals of the nursing department/organization</w:t>
      </w:r>
      <w:r w:rsidR="00173622">
        <w:t>.</w:t>
      </w:r>
    </w:p>
    <w:p w:rsidR="00295399" w:rsidRDefault="00295399" w:rsidP="00295399">
      <w:pPr>
        <w:pStyle w:val="ListParagraph"/>
        <w:numPr>
          <w:ilvl w:val="0"/>
          <w:numId w:val="1"/>
        </w:numPr>
      </w:pPr>
      <w:r>
        <w:t>Gain support from all nursing directors and charge nurses</w:t>
      </w:r>
      <w:r w:rsidR="00173622">
        <w:t>.</w:t>
      </w:r>
    </w:p>
    <w:p w:rsidR="00295399" w:rsidRDefault="00295399" w:rsidP="00295399">
      <w:pPr>
        <w:pStyle w:val="ListParagraph"/>
        <w:numPr>
          <w:ilvl w:val="0"/>
          <w:numId w:val="1"/>
        </w:numPr>
      </w:pPr>
      <w:r>
        <w:t>Identify a</w:t>
      </w:r>
      <w:r w:rsidR="00173622">
        <w:t>n</w:t>
      </w:r>
      <w:r>
        <w:t xml:space="preserve"> EBP model that would fit well into the culture of FRMC (Johns Hopkins Evidence-Based Practice Model is well done and has shown reliability and validity).</w:t>
      </w:r>
      <w:r w:rsidR="00C91AEA">
        <w:t xml:space="preserve">  See attachment.</w:t>
      </w:r>
    </w:p>
    <w:p w:rsidR="00295399" w:rsidRDefault="00295399" w:rsidP="00295399">
      <w:pPr>
        <w:pStyle w:val="ListParagraph"/>
        <w:numPr>
          <w:ilvl w:val="0"/>
          <w:numId w:val="1"/>
        </w:numPr>
      </w:pPr>
      <w:r>
        <w:t>Purchase a site license for EBSCOhost or PROquest so that staff nurses would have access to full-text peer-reviewed articles from home.</w:t>
      </w:r>
    </w:p>
    <w:p w:rsidR="00295399" w:rsidRDefault="00295399" w:rsidP="00295399">
      <w:pPr>
        <w:pStyle w:val="ListParagraph"/>
        <w:numPr>
          <w:ilvl w:val="0"/>
          <w:numId w:val="1"/>
        </w:numPr>
      </w:pPr>
      <w:r>
        <w:t xml:space="preserve">Provide </w:t>
      </w:r>
      <w:r w:rsidR="005173D1">
        <w:t xml:space="preserve">initial </w:t>
      </w:r>
      <w:r>
        <w:t>education to nurses related to EBP, how to do literature searches, how to identify various levels of research, how to implement research, and how to evaluate research.</w:t>
      </w:r>
      <w:r w:rsidR="005173D1">
        <w:t xml:space="preserve">  Start with a needs assessment of the nursing department to identify the a</w:t>
      </w:r>
      <w:r w:rsidR="00173622">
        <w:t>reas of education that is needed</w:t>
      </w:r>
      <w:r w:rsidR="005173D1">
        <w:t>.</w:t>
      </w:r>
    </w:p>
    <w:p w:rsidR="00295399" w:rsidRDefault="00295399" w:rsidP="00295399">
      <w:pPr>
        <w:pStyle w:val="ListParagraph"/>
        <w:numPr>
          <w:ilvl w:val="0"/>
          <w:numId w:val="1"/>
        </w:numPr>
      </w:pPr>
      <w:r>
        <w:t>Develop a</w:t>
      </w:r>
      <w:r w:rsidR="00173622">
        <w:t>n</w:t>
      </w:r>
      <w:r>
        <w:t xml:space="preserve"> EBP committee that meets monthly to discuss current research, research questions, implementation of research findings, and evaluation of the implementation of research into practice.</w:t>
      </w:r>
      <w:r w:rsidR="00C91AEA">
        <w:t xml:space="preserve">  Shared governance must </w:t>
      </w:r>
      <w:r w:rsidR="00104BC9">
        <w:t>be upheld during this committee with by-laws that support EBP.</w:t>
      </w:r>
    </w:p>
    <w:p w:rsidR="00104BC9" w:rsidRDefault="00104BC9" w:rsidP="00295399">
      <w:pPr>
        <w:pStyle w:val="ListParagraph"/>
        <w:numPr>
          <w:ilvl w:val="0"/>
          <w:numId w:val="1"/>
        </w:numPr>
      </w:pPr>
      <w:r>
        <w:t>Develop a mentoring program for EBP.</w:t>
      </w:r>
    </w:p>
    <w:p w:rsidR="00104BC9" w:rsidRDefault="00104BC9" w:rsidP="00295399">
      <w:pPr>
        <w:pStyle w:val="ListParagraph"/>
        <w:numPr>
          <w:ilvl w:val="0"/>
          <w:numId w:val="1"/>
        </w:numPr>
      </w:pPr>
      <w:r>
        <w:t>Use of EBP within the clinical ladder.  Nurses who use EBP within the clinical ladder must show how they implemented and evaluated the evidence.</w:t>
      </w:r>
    </w:p>
    <w:p w:rsidR="00104BC9" w:rsidRDefault="00104BC9" w:rsidP="00295399">
      <w:pPr>
        <w:pStyle w:val="ListParagraph"/>
        <w:numPr>
          <w:ilvl w:val="0"/>
          <w:numId w:val="1"/>
        </w:numPr>
      </w:pPr>
      <w:r>
        <w:t>Include the integration of EBP into the nursing job description.  Nurses must show on a yearly basis how they integrated EBP into nursing and caring for patients.</w:t>
      </w:r>
    </w:p>
    <w:p w:rsidR="005173D1" w:rsidRDefault="005173D1" w:rsidP="00295399">
      <w:pPr>
        <w:pStyle w:val="ListParagraph"/>
        <w:numPr>
          <w:ilvl w:val="0"/>
          <w:numId w:val="1"/>
        </w:numPr>
      </w:pPr>
      <w:r>
        <w:t>Utilize journal clubs on every nursing unit every month.</w:t>
      </w:r>
    </w:p>
    <w:p w:rsidR="005173D1" w:rsidRDefault="005173D1" w:rsidP="00295399">
      <w:pPr>
        <w:pStyle w:val="ListParagraph"/>
        <w:numPr>
          <w:ilvl w:val="0"/>
          <w:numId w:val="1"/>
        </w:numPr>
      </w:pPr>
      <w:r>
        <w:t xml:space="preserve">Provide ongoing education </w:t>
      </w:r>
      <w:r w:rsidR="00173622">
        <w:t xml:space="preserve">every three months </w:t>
      </w:r>
      <w:r>
        <w:t>for nurses related to EBP, levels of evidence, statistics, and researching techniques.</w:t>
      </w:r>
    </w:p>
    <w:p w:rsidR="00C91AEA" w:rsidRDefault="005173D1">
      <w:r>
        <w:t>Submitted by Michelle Bussard, RN, MSN, ACNS-BC</w:t>
      </w:r>
      <w:r w:rsidR="00C91AEA">
        <w:br w:type="page"/>
      </w:r>
    </w:p>
    <w:p w:rsidR="00C91AEA" w:rsidRDefault="00C91AEA" w:rsidP="00C91AEA">
      <w:pPr>
        <w:pStyle w:val="APAHeadingCenter"/>
        <w:jc w:val="left"/>
        <w:rPr>
          <w:b/>
        </w:rPr>
      </w:pPr>
      <w:r w:rsidRPr="004A1FDF">
        <w:rPr>
          <w:b/>
        </w:rPr>
        <w:lastRenderedPageBreak/>
        <w:t>Appendix A</w:t>
      </w:r>
      <w:r>
        <w:rPr>
          <w:b/>
        </w:rPr>
        <w:t>: Johns Hopkins Evidence- Based Practice Model and Associated Documents</w:t>
      </w:r>
    </w:p>
    <w:p w:rsidR="00C91AEA" w:rsidRPr="00B66125" w:rsidRDefault="00C91AEA" w:rsidP="00C91AEA">
      <w:pPr>
        <w:pBdr>
          <w:top w:val="double" w:sz="12" w:space="1" w:color="1F497D" w:themeColor="text2"/>
          <w:left w:val="double" w:sz="12" w:space="4" w:color="1F497D" w:themeColor="text2"/>
          <w:bottom w:val="double" w:sz="12" w:space="1" w:color="1F497D" w:themeColor="text2"/>
          <w:right w:val="double" w:sz="12" w:space="4" w:color="1F497D" w:themeColor="text2"/>
        </w:pBdr>
        <w:spacing w:line="480" w:lineRule="auto"/>
        <w:rPr>
          <w:rFonts w:cstheme="minorHAnsi"/>
          <w:sz w:val="24"/>
        </w:rPr>
      </w:pPr>
    </w:p>
    <w:p w:rsidR="00C91AEA" w:rsidRPr="00B66125" w:rsidRDefault="00C91AEA" w:rsidP="00C91AEA">
      <w:pPr>
        <w:pBdr>
          <w:top w:val="double" w:sz="12" w:space="1" w:color="1F497D" w:themeColor="text2"/>
          <w:left w:val="double" w:sz="12" w:space="4" w:color="1F497D" w:themeColor="text2"/>
          <w:bottom w:val="double" w:sz="12" w:space="1" w:color="1F497D" w:themeColor="text2"/>
          <w:right w:val="double" w:sz="12" w:space="4" w:color="1F497D" w:themeColor="text2"/>
        </w:pBdr>
        <w:spacing w:line="480" w:lineRule="auto"/>
        <w:rPr>
          <w:rFonts w:cstheme="minorHAnsi"/>
          <w:sz w:val="24"/>
        </w:rPr>
      </w:pPr>
      <w:r w:rsidRPr="00B66125">
        <w:rPr>
          <w:rFonts w:cstheme="minorHAnsi"/>
          <w:noProof/>
          <w:sz w:val="24"/>
        </w:rPr>
        <w:drawing>
          <wp:inline distT="0" distB="0" distL="0" distR="0">
            <wp:extent cx="6210300" cy="36766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76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1AEA" w:rsidRPr="00B66125" w:rsidRDefault="00C91AEA" w:rsidP="00C91AEA">
      <w:pPr>
        <w:pBdr>
          <w:top w:val="double" w:sz="12" w:space="1" w:color="1F497D" w:themeColor="text2"/>
          <w:left w:val="double" w:sz="12" w:space="4" w:color="1F497D" w:themeColor="text2"/>
          <w:bottom w:val="double" w:sz="12" w:space="1" w:color="1F497D" w:themeColor="text2"/>
          <w:right w:val="double" w:sz="12" w:space="4" w:color="1F497D" w:themeColor="text2"/>
        </w:pBdr>
        <w:contextualSpacing/>
        <w:rPr>
          <w:rFonts w:cstheme="minorHAnsi"/>
          <w:sz w:val="24"/>
        </w:rPr>
      </w:pPr>
      <w:r w:rsidRPr="00B66125">
        <w:rPr>
          <w:rFonts w:cstheme="minorHAnsi"/>
          <w:sz w:val="24"/>
        </w:rPr>
        <w:t xml:space="preserve">Illustration from “Creating infrastructure supportive of evidence-based nursing practice: Leadership strategies,” by R.P. Newhouse, 2007, </w:t>
      </w:r>
      <w:r w:rsidRPr="00B66125">
        <w:rPr>
          <w:rFonts w:cstheme="minorHAnsi"/>
          <w:i/>
          <w:sz w:val="24"/>
        </w:rPr>
        <w:t>Worldviews on Evidence-Based Nursing</w:t>
      </w:r>
      <w:r w:rsidRPr="00B66125">
        <w:rPr>
          <w:rFonts w:cstheme="minorHAnsi"/>
          <w:sz w:val="24"/>
        </w:rPr>
        <w:t xml:space="preserve">, </w:t>
      </w:r>
      <w:r w:rsidRPr="00B66125">
        <w:rPr>
          <w:rFonts w:cstheme="minorHAnsi"/>
          <w:i/>
          <w:sz w:val="24"/>
        </w:rPr>
        <w:t>4</w:t>
      </w:r>
      <w:r w:rsidRPr="00B66125">
        <w:rPr>
          <w:rFonts w:cstheme="minorHAnsi"/>
          <w:sz w:val="24"/>
        </w:rPr>
        <w:t>(1), p. 556.</w:t>
      </w:r>
    </w:p>
    <w:p w:rsidR="00C91AEA" w:rsidRPr="00B66125" w:rsidRDefault="00C91AEA" w:rsidP="00C91AEA">
      <w:pPr>
        <w:pBdr>
          <w:top w:val="double" w:sz="12" w:space="1" w:color="1F497D" w:themeColor="text2"/>
          <w:left w:val="double" w:sz="12" w:space="4" w:color="1F497D" w:themeColor="text2"/>
          <w:bottom w:val="double" w:sz="12" w:space="1" w:color="1F497D" w:themeColor="text2"/>
          <w:right w:val="double" w:sz="12" w:space="4" w:color="1F497D" w:themeColor="text2"/>
        </w:pBdr>
        <w:contextualSpacing/>
        <w:rPr>
          <w:rFonts w:cstheme="minorHAnsi"/>
          <w:sz w:val="24"/>
        </w:rPr>
      </w:pPr>
    </w:p>
    <w:p w:rsidR="00C91AEA" w:rsidRPr="00B66125" w:rsidRDefault="00C91AEA" w:rsidP="00C91AEA">
      <w:pPr>
        <w:rPr>
          <w:rFonts w:cstheme="minorHAnsi"/>
          <w:sz w:val="24"/>
        </w:rPr>
      </w:pPr>
      <w:r w:rsidRPr="00B66125">
        <w:rPr>
          <w:rFonts w:cstheme="minorHAnsi"/>
          <w:sz w:val="24"/>
        </w:rPr>
        <w:br w:type="page"/>
      </w:r>
    </w:p>
    <w:p w:rsidR="00C91AEA" w:rsidRPr="00B66125" w:rsidRDefault="00C91AEA" w:rsidP="00C91AEA">
      <w:pPr>
        <w:rPr>
          <w:rFonts w:cstheme="minorHAnsi"/>
          <w:sz w:val="24"/>
        </w:rPr>
      </w:pPr>
    </w:p>
    <w:p w:rsidR="00C91AEA" w:rsidRPr="00B66125" w:rsidRDefault="00C91AEA" w:rsidP="00C91AEA">
      <w:pPr>
        <w:pBdr>
          <w:top w:val="double" w:sz="12" w:space="1" w:color="0070C0"/>
          <w:left w:val="double" w:sz="12" w:space="4" w:color="0070C0"/>
          <w:bottom w:val="double" w:sz="12" w:space="1" w:color="0070C0"/>
          <w:right w:val="double" w:sz="12" w:space="4" w:color="0070C0"/>
        </w:pBdr>
        <w:rPr>
          <w:rFonts w:cstheme="minorHAnsi"/>
          <w:sz w:val="24"/>
        </w:rPr>
      </w:pPr>
      <w:r w:rsidRPr="00B66125">
        <w:rPr>
          <w:rFonts w:cstheme="minorHAnsi"/>
          <w:noProof/>
          <w:sz w:val="24"/>
        </w:rPr>
        <w:drawing>
          <wp:inline distT="0" distB="0" distL="0" distR="0">
            <wp:extent cx="6217920" cy="639633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63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EA" w:rsidRPr="00B66125" w:rsidRDefault="00C91AEA" w:rsidP="00C91AEA">
      <w:pPr>
        <w:pBdr>
          <w:top w:val="double" w:sz="12" w:space="1" w:color="0070C0"/>
          <w:left w:val="double" w:sz="12" w:space="4" w:color="0070C0"/>
          <w:bottom w:val="double" w:sz="12" w:space="1" w:color="0070C0"/>
          <w:right w:val="double" w:sz="12" w:space="4" w:color="0070C0"/>
        </w:pBdr>
        <w:rPr>
          <w:rFonts w:cstheme="minorHAnsi"/>
          <w:sz w:val="24"/>
        </w:rPr>
      </w:pPr>
    </w:p>
    <w:p w:rsidR="00C91AEA" w:rsidRPr="00B66125" w:rsidRDefault="00C91AEA" w:rsidP="00C91AEA">
      <w:pPr>
        <w:pBdr>
          <w:top w:val="double" w:sz="12" w:space="1" w:color="0070C0"/>
          <w:left w:val="double" w:sz="12" w:space="4" w:color="0070C0"/>
          <w:bottom w:val="double" w:sz="12" w:space="1" w:color="0070C0"/>
          <w:right w:val="double" w:sz="12" w:space="4" w:color="0070C0"/>
        </w:pBdr>
        <w:rPr>
          <w:rFonts w:cstheme="minorHAnsi"/>
          <w:sz w:val="24"/>
        </w:rPr>
      </w:pPr>
      <w:proofErr w:type="gramStart"/>
      <w:r w:rsidRPr="00B66125">
        <w:rPr>
          <w:rFonts w:cstheme="minorHAnsi"/>
          <w:sz w:val="24"/>
        </w:rPr>
        <w:t xml:space="preserve">Illustration from, “John Hopkins Nursing Evidence-Based Practice Model and Guidelines,” by R. P. Newhouse, S. L. </w:t>
      </w:r>
      <w:proofErr w:type="spellStart"/>
      <w:r w:rsidRPr="00B66125">
        <w:rPr>
          <w:rFonts w:cstheme="minorHAnsi"/>
          <w:sz w:val="24"/>
        </w:rPr>
        <w:t>Dearholt</w:t>
      </w:r>
      <w:proofErr w:type="spellEnd"/>
      <w:r w:rsidRPr="00B66125">
        <w:rPr>
          <w:rFonts w:cstheme="minorHAnsi"/>
          <w:sz w:val="24"/>
        </w:rPr>
        <w:t>, S. S.</w:t>
      </w:r>
      <w:proofErr w:type="gramEnd"/>
      <w:r w:rsidRPr="00B66125">
        <w:rPr>
          <w:rFonts w:cstheme="minorHAnsi"/>
          <w:sz w:val="24"/>
        </w:rPr>
        <w:t xml:space="preserve">  </w:t>
      </w:r>
      <w:proofErr w:type="gramStart"/>
      <w:r w:rsidRPr="00B66125">
        <w:rPr>
          <w:rFonts w:cstheme="minorHAnsi"/>
          <w:sz w:val="24"/>
        </w:rPr>
        <w:t>Poe, L. C. Pugh, and K. M. White, 2007.</w:t>
      </w:r>
      <w:proofErr w:type="gramEnd"/>
      <w:r w:rsidRPr="00B66125">
        <w:rPr>
          <w:rFonts w:cstheme="minorHAnsi"/>
          <w:sz w:val="24"/>
        </w:rPr>
        <w:t xml:space="preserve"> </w:t>
      </w:r>
      <w:proofErr w:type="gramStart"/>
      <w:r w:rsidRPr="00B66125">
        <w:rPr>
          <w:rFonts w:cstheme="minorHAnsi"/>
          <w:sz w:val="24"/>
        </w:rPr>
        <w:t>p. 204.</w:t>
      </w:r>
      <w:proofErr w:type="gramEnd"/>
    </w:p>
    <w:p w:rsidR="00C91AEA" w:rsidRPr="00B66125" w:rsidRDefault="00C91AEA" w:rsidP="00C91AEA">
      <w:pPr>
        <w:pBdr>
          <w:top w:val="double" w:sz="12" w:space="1" w:color="0070C0"/>
          <w:left w:val="double" w:sz="12" w:space="4" w:color="0070C0"/>
          <w:bottom w:val="double" w:sz="12" w:space="1" w:color="0070C0"/>
          <w:right w:val="double" w:sz="12" w:space="4" w:color="0070C0"/>
        </w:pBdr>
        <w:rPr>
          <w:rFonts w:cstheme="minorHAnsi"/>
          <w:sz w:val="24"/>
        </w:rPr>
      </w:pPr>
    </w:p>
    <w:p w:rsidR="00C91AEA" w:rsidRDefault="00C91AEA" w:rsidP="00C91AEA">
      <w:pPr>
        <w:pBdr>
          <w:top w:val="double" w:sz="12" w:space="1" w:color="1F497D" w:themeColor="text2"/>
          <w:left w:val="double" w:sz="12" w:space="4" w:color="1F497D" w:themeColor="text2"/>
          <w:bottom w:val="double" w:sz="12" w:space="1" w:color="1F497D" w:themeColor="text2"/>
          <w:right w:val="double" w:sz="12" w:space="4" w:color="1F497D" w:themeColor="text2"/>
        </w:pBdr>
        <w:rPr>
          <w:rFonts w:cstheme="minorHAnsi"/>
          <w:sz w:val="24"/>
        </w:rPr>
      </w:pPr>
      <w:r w:rsidRPr="00B66125">
        <w:rPr>
          <w:rFonts w:cstheme="minorHAnsi"/>
          <w:noProof/>
          <w:sz w:val="24"/>
        </w:rPr>
        <w:lastRenderedPageBreak/>
        <w:drawing>
          <wp:inline distT="0" distB="0" distL="0" distR="0">
            <wp:extent cx="6027089" cy="6835821"/>
            <wp:effectExtent l="0" t="0" r="0" b="31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48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EA" w:rsidRPr="00B66125" w:rsidRDefault="00C91AEA" w:rsidP="00C91AEA">
      <w:pPr>
        <w:pBdr>
          <w:top w:val="double" w:sz="12" w:space="1" w:color="1F497D" w:themeColor="text2"/>
          <w:left w:val="double" w:sz="12" w:space="4" w:color="1F497D" w:themeColor="text2"/>
          <w:bottom w:val="double" w:sz="12" w:space="1" w:color="1F497D" w:themeColor="text2"/>
          <w:right w:val="double" w:sz="12" w:space="4" w:color="1F497D" w:themeColor="text2"/>
        </w:pBdr>
        <w:rPr>
          <w:rFonts w:cstheme="minorHAnsi"/>
          <w:sz w:val="24"/>
        </w:rPr>
      </w:pPr>
    </w:p>
    <w:p w:rsidR="00C91AEA" w:rsidRDefault="00C91AEA" w:rsidP="00C91AEA">
      <w:pPr>
        <w:pBdr>
          <w:top w:val="double" w:sz="12" w:space="1" w:color="1F497D" w:themeColor="text2"/>
          <w:left w:val="double" w:sz="12" w:space="4" w:color="1F497D" w:themeColor="text2"/>
          <w:bottom w:val="double" w:sz="12" w:space="1" w:color="1F497D" w:themeColor="text2"/>
          <w:right w:val="double" w:sz="12" w:space="4" w:color="1F497D" w:themeColor="text2"/>
        </w:pBdr>
        <w:rPr>
          <w:rFonts w:cstheme="minorHAnsi"/>
          <w:sz w:val="24"/>
        </w:rPr>
      </w:pPr>
      <w:r w:rsidRPr="00B66125">
        <w:rPr>
          <w:rFonts w:cstheme="minorHAnsi"/>
          <w:sz w:val="24"/>
        </w:rPr>
        <w:t xml:space="preserve">Illustration from, “Johns Hopkins Evidence-Based Practice Model and Guidelines,” by R. P. Newhouse, S.L. </w:t>
      </w:r>
      <w:proofErr w:type="spellStart"/>
      <w:r w:rsidRPr="00B66125">
        <w:rPr>
          <w:rFonts w:cstheme="minorHAnsi"/>
          <w:sz w:val="24"/>
        </w:rPr>
        <w:t>Dearholt</w:t>
      </w:r>
      <w:proofErr w:type="spellEnd"/>
      <w:r w:rsidRPr="00B66125">
        <w:rPr>
          <w:rFonts w:cstheme="minorHAnsi"/>
          <w:sz w:val="24"/>
        </w:rPr>
        <w:t>, S.S Poe, L.C. Pugh, and K.M. White, 2007, p. 196.</w:t>
      </w:r>
    </w:p>
    <w:p w:rsidR="00C91AEA" w:rsidRPr="00B66125" w:rsidRDefault="00C91AEA" w:rsidP="00C91AEA">
      <w:pPr>
        <w:pBdr>
          <w:top w:val="double" w:sz="12" w:space="1" w:color="1F497D" w:themeColor="text2"/>
          <w:left w:val="double" w:sz="12" w:space="4" w:color="1F497D" w:themeColor="text2"/>
          <w:bottom w:val="double" w:sz="12" w:space="1" w:color="1F497D" w:themeColor="text2"/>
          <w:right w:val="double" w:sz="12" w:space="4" w:color="1F497D" w:themeColor="text2"/>
        </w:pBdr>
        <w:rPr>
          <w:rFonts w:cstheme="minorHAnsi"/>
          <w:sz w:val="24"/>
        </w:rPr>
      </w:pPr>
    </w:p>
    <w:p w:rsidR="00C91AEA" w:rsidRDefault="00C91AEA" w:rsidP="00C91AEA"/>
    <w:p w:rsidR="00C91AEA" w:rsidRDefault="00C91AEA" w:rsidP="00C91AEA"/>
    <w:p w:rsidR="00C91AEA" w:rsidRDefault="00C91AEA" w:rsidP="00C91AEA"/>
    <w:p w:rsidR="00C91AEA" w:rsidRDefault="00C91AEA" w:rsidP="00C91AEA">
      <w:r>
        <w:rPr>
          <w:noProof/>
        </w:rPr>
        <w:drawing>
          <wp:inline distT="0" distB="0" distL="0" distR="0">
            <wp:extent cx="5938921" cy="5667375"/>
            <wp:effectExtent l="38100" t="38100" r="43180" b="2857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184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1AEA" w:rsidRDefault="00C91AEA" w:rsidP="00C91AEA">
      <w:pPr>
        <w:pStyle w:val="ListParagraph"/>
      </w:pPr>
    </w:p>
    <w:p w:rsidR="00295399" w:rsidRDefault="00295399" w:rsidP="00295399"/>
    <w:sectPr w:rsidR="00295399" w:rsidSect="007706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A58C4"/>
    <w:multiLevelType w:val="hybridMultilevel"/>
    <w:tmpl w:val="5B7C0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95399"/>
    <w:rsid w:val="00104BC9"/>
    <w:rsid w:val="00173622"/>
    <w:rsid w:val="00295399"/>
    <w:rsid w:val="005173D1"/>
    <w:rsid w:val="0077068F"/>
    <w:rsid w:val="00843647"/>
    <w:rsid w:val="008A60D5"/>
    <w:rsid w:val="00C91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399"/>
    <w:pPr>
      <w:ind w:left="720"/>
      <w:contextualSpacing/>
    </w:pPr>
  </w:style>
  <w:style w:type="paragraph" w:customStyle="1" w:styleId="APAHeadingCenter">
    <w:name w:val="APA Heading Center"/>
    <w:basedOn w:val="Normal"/>
    <w:next w:val="Normal"/>
    <w:rsid w:val="00C91AEA"/>
    <w:pPr>
      <w:overflowPunct w:val="0"/>
      <w:autoSpaceDE w:val="0"/>
      <w:autoSpaceDN w:val="0"/>
      <w:adjustRightInd w:val="0"/>
      <w:spacing w:after="0" w:line="48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Firelands Regional Medical Center</Company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bussard</dc:creator>
  <cp:lastModifiedBy>michelle bussard</cp:lastModifiedBy>
  <cp:revision>3</cp:revision>
  <dcterms:created xsi:type="dcterms:W3CDTF">2012-09-14T17:39:00Z</dcterms:created>
  <dcterms:modified xsi:type="dcterms:W3CDTF">2012-09-14T18:06:00Z</dcterms:modified>
</cp:coreProperties>
</file>