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1232"/>
        <w:gridCol w:w="1772"/>
        <w:gridCol w:w="1859"/>
        <w:gridCol w:w="1774"/>
        <w:gridCol w:w="1858"/>
        <w:gridCol w:w="1757"/>
        <w:gridCol w:w="1776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056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1D08D1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E8032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Lisinopril</w:t>
            </w:r>
          </w:p>
          <w:p w:rsidR="00E8032D" w:rsidRPr="003814FB" w:rsidRDefault="00E8032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Prinivil</w:t>
            </w:r>
          </w:p>
        </w:tc>
        <w:tc>
          <w:tcPr>
            <w:tcW w:w="1235" w:type="dxa"/>
          </w:tcPr>
          <w:p w:rsidR="001D08D1" w:rsidRPr="003814FB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 mg</w:t>
            </w:r>
          </w:p>
        </w:tc>
        <w:tc>
          <w:tcPr>
            <w:tcW w:w="1789" w:type="dxa"/>
          </w:tcPr>
          <w:p w:rsidR="001D08D1" w:rsidRPr="003814FB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0900 PO</w:t>
            </w:r>
          </w:p>
        </w:tc>
        <w:tc>
          <w:tcPr>
            <w:tcW w:w="1861" w:type="dxa"/>
          </w:tcPr>
          <w:p w:rsidR="003F6439" w:rsidRPr="003F6439" w:rsidRDefault="003F6439" w:rsidP="003F6439">
            <w:pPr>
              <w:rPr>
                <w:rFonts w:ascii="Arial" w:hAnsi="Arial" w:cs="Arial"/>
                <w:sz w:val="18"/>
                <w:szCs w:val="18"/>
              </w:rPr>
            </w:pPr>
            <w:r w:rsidRPr="003F6439">
              <w:rPr>
                <w:rFonts w:ascii="Arial" w:hAnsi="Arial" w:cs="Arial"/>
                <w:sz w:val="18"/>
                <w:szCs w:val="18"/>
              </w:rPr>
              <w:t>T: antihypertensives</w:t>
            </w:r>
          </w:p>
          <w:p w:rsidR="001D08D1" w:rsidRPr="003814FB" w:rsidRDefault="003F6439" w:rsidP="003F6439">
            <w:pPr>
              <w:rPr>
                <w:rFonts w:ascii="Arial" w:hAnsi="Arial" w:cs="Arial"/>
                <w:sz w:val="18"/>
                <w:szCs w:val="18"/>
              </w:rPr>
            </w:pPr>
            <w:r w:rsidRPr="003F6439">
              <w:rPr>
                <w:rFonts w:ascii="Arial" w:hAnsi="Arial" w:cs="Arial"/>
                <w:sz w:val="18"/>
                <w:szCs w:val="18"/>
              </w:rPr>
              <w:t>P: ace inhibitors</w:t>
            </w:r>
          </w:p>
        </w:tc>
        <w:tc>
          <w:tcPr>
            <w:tcW w:w="1778" w:type="dxa"/>
          </w:tcPr>
          <w:p w:rsidR="001D08D1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3F6439">
              <w:rPr>
                <w:rFonts w:ascii="Arial" w:hAnsi="Arial" w:cs="Arial"/>
                <w:sz w:val="18"/>
                <w:szCs w:val="18"/>
              </w:rPr>
              <w:t>Angiotensin converting enzyme (ACE) inhibitors block the conversion of angiotensin I to the vasoconstrictor angiotensin II.</w:t>
            </w:r>
          </w:p>
        </w:tc>
        <w:tc>
          <w:tcPr>
            <w:tcW w:w="1778" w:type="dxa"/>
          </w:tcPr>
          <w:p w:rsidR="001D08D1" w:rsidRPr="003814FB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C636A">
              <w:rPr>
                <w:rFonts w:ascii="Arial" w:hAnsi="Arial" w:cs="Arial"/>
                <w:sz w:val="18"/>
                <w:szCs w:val="18"/>
              </w:rPr>
              <w:t>Angioedema, dizziness, cough, hypotension</w:t>
            </w:r>
          </w:p>
        </w:tc>
        <w:tc>
          <w:tcPr>
            <w:tcW w:w="1778" w:type="dxa"/>
          </w:tcPr>
          <w:p w:rsidR="001D08D1" w:rsidRPr="003814FB" w:rsidRDefault="004C4FE4" w:rsidP="007C6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CHF</w:t>
            </w:r>
          </w:p>
        </w:tc>
        <w:tc>
          <w:tcPr>
            <w:tcW w:w="1778" w:type="dxa"/>
          </w:tcPr>
          <w:p w:rsidR="001D08D1" w:rsidRPr="003814FB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C636A">
              <w:rPr>
                <w:rFonts w:ascii="Arial" w:hAnsi="Arial" w:cs="Arial"/>
                <w:sz w:val="18"/>
                <w:szCs w:val="18"/>
              </w:rPr>
              <w:t>Assess BP, pulse respiratory rate and lung sounds, skin turgor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E8032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Hydrocortisone</w:t>
            </w:r>
          </w:p>
          <w:p w:rsidR="00E8032D" w:rsidRPr="003814FB" w:rsidRDefault="00E8032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Cortef</w:t>
            </w:r>
          </w:p>
        </w:tc>
        <w:tc>
          <w:tcPr>
            <w:tcW w:w="1235" w:type="dxa"/>
          </w:tcPr>
          <w:p w:rsidR="001D08D1" w:rsidRPr="003814FB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mg</w:t>
            </w:r>
          </w:p>
        </w:tc>
        <w:tc>
          <w:tcPr>
            <w:tcW w:w="1789" w:type="dxa"/>
          </w:tcPr>
          <w:p w:rsidR="001D08D1" w:rsidRPr="003814FB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QAM 0900 PO</w:t>
            </w:r>
          </w:p>
        </w:tc>
        <w:tc>
          <w:tcPr>
            <w:tcW w:w="1861" w:type="dxa"/>
          </w:tcPr>
          <w:p w:rsidR="001D08D1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corticosteroids</w:t>
            </w:r>
          </w:p>
          <w:p w:rsidR="007C636A" w:rsidRPr="003814FB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corticosteroids</w:t>
            </w:r>
          </w:p>
        </w:tc>
        <w:tc>
          <w:tcPr>
            <w:tcW w:w="1778" w:type="dxa"/>
          </w:tcPr>
          <w:p w:rsidR="001D08D1" w:rsidRPr="003814FB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Suppresses inflammation and the normal immune response</w:t>
            </w:r>
          </w:p>
        </w:tc>
        <w:tc>
          <w:tcPr>
            <w:tcW w:w="1778" w:type="dxa"/>
          </w:tcPr>
          <w:p w:rsidR="001D08D1" w:rsidRPr="003814FB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Depression, euphoria, HTN, peptic ulceration, anorexia, nausea, acne, decreased wound healing, ecchymosis, fragility, hirsutism, petechiae</w:t>
            </w:r>
          </w:p>
        </w:tc>
        <w:tc>
          <w:tcPr>
            <w:tcW w:w="1778" w:type="dxa"/>
          </w:tcPr>
          <w:p w:rsidR="001D08D1" w:rsidRPr="003814FB" w:rsidRDefault="007C636A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Parkinson’s</w:t>
            </w:r>
          </w:p>
        </w:tc>
        <w:tc>
          <w:tcPr>
            <w:tcW w:w="1778" w:type="dxa"/>
          </w:tcPr>
          <w:p w:rsidR="001D08D1" w:rsidRPr="00446E00" w:rsidRDefault="007C636A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I/O, N/V, lung sounds, presence of edema</w:t>
            </w:r>
            <w:r w:rsid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t>, which lab should you monitor?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E8032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Docusate Sodium</w:t>
            </w:r>
          </w:p>
          <w:p w:rsidR="00E8032D" w:rsidRPr="003814FB" w:rsidRDefault="00E8032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Colace</w:t>
            </w:r>
          </w:p>
        </w:tc>
        <w:tc>
          <w:tcPr>
            <w:tcW w:w="1235" w:type="dxa"/>
          </w:tcPr>
          <w:p w:rsidR="001D08D1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 mg</w:t>
            </w:r>
          </w:p>
          <w:p w:rsidR="007D501C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mg</w:t>
            </w:r>
          </w:p>
        </w:tc>
        <w:tc>
          <w:tcPr>
            <w:tcW w:w="1789" w:type="dxa"/>
          </w:tcPr>
          <w:p w:rsidR="001D08D1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  <w:p w:rsidR="007D501C" w:rsidRPr="003814FB" w:rsidRDefault="007D501C" w:rsidP="007D50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7D501C" w:rsidRPr="007D501C" w:rsidRDefault="007D501C" w:rsidP="007D501C">
            <w:pPr>
              <w:rPr>
                <w:rFonts w:ascii="Arial" w:hAnsi="Arial" w:cs="Arial"/>
                <w:sz w:val="18"/>
                <w:szCs w:val="18"/>
              </w:rPr>
            </w:pPr>
            <w:r w:rsidRPr="007D501C">
              <w:rPr>
                <w:rFonts w:ascii="Arial" w:hAnsi="Arial" w:cs="Arial"/>
                <w:sz w:val="18"/>
                <w:szCs w:val="18"/>
              </w:rPr>
              <w:t>T: laxative</w:t>
            </w:r>
          </w:p>
          <w:p w:rsidR="001D08D1" w:rsidRPr="003814FB" w:rsidRDefault="007D501C" w:rsidP="007D501C">
            <w:pPr>
              <w:rPr>
                <w:rFonts w:ascii="Arial" w:hAnsi="Arial" w:cs="Arial"/>
                <w:sz w:val="18"/>
                <w:szCs w:val="18"/>
              </w:rPr>
            </w:pPr>
            <w:r w:rsidRPr="007D501C">
              <w:rPr>
                <w:rFonts w:ascii="Arial" w:hAnsi="Arial" w:cs="Arial"/>
                <w:sz w:val="18"/>
                <w:szCs w:val="18"/>
              </w:rPr>
              <w:t>P: Stool Softener</w:t>
            </w:r>
          </w:p>
        </w:tc>
        <w:tc>
          <w:tcPr>
            <w:tcW w:w="1778" w:type="dxa"/>
          </w:tcPr>
          <w:p w:rsidR="001D08D1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D501C">
              <w:rPr>
                <w:rFonts w:ascii="Arial" w:hAnsi="Arial" w:cs="Arial"/>
                <w:sz w:val="18"/>
                <w:szCs w:val="18"/>
              </w:rPr>
              <w:t>Softening and passage of stool by promoting incorporation of H2O into stool</w:t>
            </w:r>
          </w:p>
        </w:tc>
        <w:tc>
          <w:tcPr>
            <w:tcW w:w="1778" w:type="dxa"/>
          </w:tcPr>
          <w:p w:rsidR="001D08D1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D501C">
              <w:rPr>
                <w:rFonts w:ascii="Arial" w:hAnsi="Arial" w:cs="Arial"/>
                <w:sz w:val="18"/>
                <w:szCs w:val="18"/>
              </w:rPr>
              <w:t>Mild cramps and diarrhea</w:t>
            </w:r>
          </w:p>
        </w:tc>
        <w:tc>
          <w:tcPr>
            <w:tcW w:w="1778" w:type="dxa"/>
          </w:tcPr>
          <w:p w:rsidR="001D08D1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D501C"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pt BM daily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E8032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Senna </w:t>
            </w:r>
          </w:p>
          <w:p w:rsidR="00E8032D" w:rsidRPr="003814FB" w:rsidRDefault="00E8032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Senokot</w:t>
            </w:r>
          </w:p>
        </w:tc>
        <w:tc>
          <w:tcPr>
            <w:tcW w:w="1235" w:type="dxa"/>
          </w:tcPr>
          <w:p w:rsidR="001D08D1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each</w:t>
            </w:r>
          </w:p>
        </w:tc>
        <w:tc>
          <w:tcPr>
            <w:tcW w:w="1789" w:type="dxa"/>
          </w:tcPr>
          <w:p w:rsidR="001D08D1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1D08D1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laxatives</w:t>
            </w:r>
          </w:p>
          <w:p w:rsidR="007D501C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stimulant laxative</w:t>
            </w:r>
          </w:p>
        </w:tc>
        <w:tc>
          <w:tcPr>
            <w:tcW w:w="1778" w:type="dxa"/>
          </w:tcPr>
          <w:p w:rsidR="001D08D1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components of senna alter H</w:t>
            </w:r>
            <w:r w:rsidRPr="007D501C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O and electrolyte transport in the large intestine, resulting in accumulation of H</w:t>
            </w:r>
            <w:r w:rsidRPr="007D501C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O and increased peristalsis</w:t>
            </w:r>
          </w:p>
        </w:tc>
        <w:tc>
          <w:tcPr>
            <w:tcW w:w="1778" w:type="dxa"/>
          </w:tcPr>
          <w:p w:rsidR="001D08D1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Cramping, diarrhea</w:t>
            </w:r>
          </w:p>
        </w:tc>
        <w:tc>
          <w:tcPr>
            <w:tcW w:w="1778" w:type="dxa"/>
          </w:tcPr>
          <w:p w:rsidR="001D08D1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7D501C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D501C">
              <w:rPr>
                <w:rFonts w:ascii="Arial" w:hAnsi="Arial" w:cs="Arial"/>
                <w:sz w:val="18"/>
                <w:szCs w:val="18"/>
              </w:rPr>
              <w:t>Assess pt BM daily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Midodrine</w:t>
            </w:r>
            <w:proofErr w:type="spellEnd"/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amatine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Orvaden</w:t>
            </w:r>
            <w:proofErr w:type="spellEnd"/>
          </w:p>
        </w:tc>
        <w:tc>
          <w:tcPr>
            <w:tcW w:w="1235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mg</w:t>
            </w:r>
          </w:p>
        </w:tc>
        <w:tc>
          <w:tcPr>
            <w:tcW w:w="1789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 0700</w:t>
            </w:r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>, 1400, 2200</w:t>
            </w:r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vasopressors</w:t>
            </w:r>
          </w:p>
        </w:tc>
        <w:tc>
          <w:tcPr>
            <w:tcW w:w="1778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Activation of alpha 1 adrenergic receptors in arteries and veins</w:t>
            </w:r>
          </w:p>
        </w:tc>
        <w:tc>
          <w:tcPr>
            <w:tcW w:w="1778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Supine HTN, urinary urge, retention, frequency, dysuria, piloerection, pruritus, paresthesia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Orthostatic</w:t>
            </w:r>
            <w:r w:rsidR="002E4DCC">
              <w:rPr>
                <w:rFonts w:ascii="Arial" w:hAnsi="Arial" w:cs="Arial"/>
                <w:sz w:val="18"/>
                <w:szCs w:val="18"/>
              </w:rPr>
              <w:t xml:space="preserve"> hypotension or urinary incontinence</w:t>
            </w:r>
          </w:p>
        </w:tc>
        <w:tc>
          <w:tcPr>
            <w:tcW w:w="1778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 (supine and sitting) and urinary output</w:t>
            </w:r>
          </w:p>
        </w:tc>
      </w:tr>
      <w:tr w:rsidR="002E4DCC" w:rsidRPr="003814FB" w:rsidTr="003B3049">
        <w:tc>
          <w:tcPr>
            <w:tcW w:w="2331" w:type="dxa"/>
          </w:tcPr>
          <w:p w:rsidR="002E4DCC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Gluisine</w:t>
            </w:r>
            <w:proofErr w:type="spellEnd"/>
          </w:p>
          <w:p w:rsidR="002E4DCC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Apidra </w:t>
            </w:r>
          </w:p>
        </w:tc>
        <w:tc>
          <w:tcPr>
            <w:tcW w:w="3024" w:type="dxa"/>
            <w:gridSpan w:val="2"/>
          </w:tcPr>
          <w:p w:rsidR="002E4DCC" w:rsidRPr="00645F34" w:rsidRDefault="002E4DCC" w:rsidP="002E4DCC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E4DCC">
              <w:rPr>
                <w:rFonts w:ascii="Arial" w:hAnsi="Arial" w:cs="Arial"/>
                <w:sz w:val="18"/>
                <w:szCs w:val="18"/>
              </w:rPr>
              <w:t>Dose based on FSBS and use of moderate scale</w:t>
            </w:r>
            <w:r w:rsidR="00645F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>AC + HS</w:t>
            </w:r>
            <w:r w:rsidR="00645F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0730, 1130, 1630, 2200  </w:t>
            </w:r>
            <w:proofErr w:type="spellStart"/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>Subq</w:t>
            </w:r>
            <w:proofErr w:type="spellEnd"/>
          </w:p>
        </w:tc>
        <w:tc>
          <w:tcPr>
            <w:tcW w:w="1861" w:type="dxa"/>
          </w:tcPr>
          <w:p w:rsidR="002E4DCC" w:rsidRPr="002E4DCC" w:rsidRDefault="002E4DCC" w:rsidP="002E4DCC">
            <w:pPr>
              <w:rPr>
                <w:rFonts w:ascii="Arial" w:hAnsi="Arial" w:cs="Arial"/>
                <w:sz w:val="18"/>
                <w:szCs w:val="18"/>
              </w:rPr>
            </w:pPr>
            <w:r w:rsidRPr="002E4DCC">
              <w:rPr>
                <w:rFonts w:ascii="Arial" w:hAnsi="Arial" w:cs="Arial"/>
                <w:sz w:val="18"/>
                <w:szCs w:val="18"/>
              </w:rPr>
              <w:t>T: antidiabetics, hormones</w:t>
            </w:r>
          </w:p>
          <w:p w:rsidR="002E4DCC" w:rsidRDefault="002E4DCC" w:rsidP="002E4DCC">
            <w:pPr>
              <w:rPr>
                <w:rFonts w:ascii="Arial" w:hAnsi="Arial" w:cs="Arial"/>
                <w:sz w:val="18"/>
                <w:szCs w:val="18"/>
              </w:rPr>
            </w:pPr>
            <w:r w:rsidRPr="002E4DCC">
              <w:rPr>
                <w:rFonts w:ascii="Arial" w:hAnsi="Arial" w:cs="Arial"/>
                <w:sz w:val="18"/>
                <w:szCs w:val="18"/>
              </w:rPr>
              <w:t xml:space="preserve">P: </w:t>
            </w:r>
            <w:r w:rsidR="003359B7" w:rsidRPr="002E4DCC">
              <w:rPr>
                <w:rFonts w:ascii="Arial" w:hAnsi="Arial" w:cs="Arial"/>
                <w:sz w:val="18"/>
                <w:szCs w:val="18"/>
              </w:rPr>
              <w:t>pancreatic</w:t>
            </w:r>
          </w:p>
          <w:p w:rsidR="00645F34" w:rsidRPr="00645F34" w:rsidRDefault="00645F34" w:rsidP="002E4DCC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Short,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intermediate, or long acting?</w:t>
            </w:r>
          </w:p>
        </w:tc>
        <w:tc>
          <w:tcPr>
            <w:tcW w:w="1778" w:type="dxa"/>
          </w:tcPr>
          <w:p w:rsidR="002E4DCC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2E4DCC">
              <w:rPr>
                <w:rFonts w:ascii="Arial" w:hAnsi="Arial" w:cs="Arial"/>
                <w:sz w:val="18"/>
                <w:szCs w:val="18"/>
              </w:rPr>
              <w:lastRenderedPageBreak/>
              <w:t xml:space="preserve">Lowers blood glucose by stimulating glucose uptake in skeletal </w:t>
            </w:r>
            <w:r w:rsidRPr="002E4DCC">
              <w:rPr>
                <w:rFonts w:ascii="Arial" w:hAnsi="Arial" w:cs="Arial"/>
                <w:sz w:val="18"/>
                <w:szCs w:val="18"/>
              </w:rPr>
              <w:lastRenderedPageBreak/>
              <w:t>muscle and fat, inhibiting hepatic glucose production</w:t>
            </w:r>
          </w:p>
        </w:tc>
        <w:tc>
          <w:tcPr>
            <w:tcW w:w="1778" w:type="dxa"/>
          </w:tcPr>
          <w:p w:rsidR="002E4DCC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2E4DCC">
              <w:rPr>
                <w:rFonts w:ascii="Arial" w:hAnsi="Arial" w:cs="Arial"/>
                <w:sz w:val="18"/>
                <w:szCs w:val="18"/>
              </w:rPr>
              <w:lastRenderedPageBreak/>
              <w:t>Hypoglycemia, allergic reactions (anaphylaxis)</w:t>
            </w:r>
          </w:p>
        </w:tc>
        <w:tc>
          <w:tcPr>
            <w:tcW w:w="1778" w:type="dxa"/>
          </w:tcPr>
          <w:p w:rsidR="002E4DCC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</w:t>
            </w:r>
          </w:p>
        </w:tc>
        <w:tc>
          <w:tcPr>
            <w:tcW w:w="1778" w:type="dxa"/>
          </w:tcPr>
          <w:p w:rsidR="002E4DCC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2E4DCC">
              <w:rPr>
                <w:rFonts w:ascii="Arial" w:hAnsi="Arial" w:cs="Arial"/>
                <w:sz w:val="18"/>
                <w:szCs w:val="18"/>
              </w:rPr>
              <w:t xml:space="preserve">Assess pt for s/s of hypoglycemia and monitor body weight, AC and HS </w:t>
            </w:r>
            <w:r w:rsidRPr="002E4DCC">
              <w:rPr>
                <w:rFonts w:ascii="Arial" w:hAnsi="Arial" w:cs="Arial"/>
                <w:sz w:val="18"/>
                <w:szCs w:val="18"/>
              </w:rPr>
              <w:lastRenderedPageBreak/>
              <w:t>FSBS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Ropinirole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HCl</w:t>
            </w:r>
            <w:proofErr w:type="spellEnd"/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Requip</w:t>
            </w:r>
          </w:p>
        </w:tc>
        <w:tc>
          <w:tcPr>
            <w:tcW w:w="1235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 mg</w:t>
            </w:r>
          </w:p>
        </w:tc>
        <w:tc>
          <w:tcPr>
            <w:tcW w:w="1789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TIDWM </w:t>
            </w:r>
            <w:r w:rsidRPr="00645F34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0900</w:t>
            </w:r>
            <w:r w:rsidR="00645F34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 xml:space="preserve"> </w:t>
            </w:r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>0800, 1200, 1700</w:t>
            </w:r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1D08D1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antiparkinson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</w:t>
            </w:r>
          </w:p>
          <w:p w:rsidR="002E4DCC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dopamine agonist</w:t>
            </w:r>
          </w:p>
        </w:tc>
        <w:tc>
          <w:tcPr>
            <w:tcW w:w="1778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Stimulates dopamine receptors in the brain</w:t>
            </w:r>
          </w:p>
        </w:tc>
        <w:tc>
          <w:tcPr>
            <w:tcW w:w="1778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Sleep attacks, dizziness, syncope</w:t>
            </w:r>
          </w:p>
        </w:tc>
        <w:tc>
          <w:tcPr>
            <w:tcW w:w="1778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Parkinson’s</w:t>
            </w:r>
          </w:p>
        </w:tc>
        <w:tc>
          <w:tcPr>
            <w:tcW w:w="1778" w:type="dxa"/>
          </w:tcPr>
          <w:p w:rsidR="001D08D1" w:rsidRPr="003814FB" w:rsidRDefault="002E4DC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BP, fall precautions, sleep patterns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Lispro</w:t>
            </w:r>
            <w:proofErr w:type="spellEnd"/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Humalog Mix 75/25</w:t>
            </w:r>
          </w:p>
        </w:tc>
        <w:tc>
          <w:tcPr>
            <w:tcW w:w="1235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 units</w:t>
            </w:r>
          </w:p>
        </w:tc>
        <w:tc>
          <w:tcPr>
            <w:tcW w:w="1789" w:type="dxa"/>
          </w:tcPr>
          <w:p w:rsidR="001D08D1" w:rsidRPr="00645F34" w:rsidRDefault="0070436F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WBS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SubQ</w:t>
            </w:r>
            <w:proofErr w:type="spellEnd"/>
            <w:r w:rsidR="00645F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>0800, 1700</w:t>
            </w:r>
          </w:p>
        </w:tc>
        <w:tc>
          <w:tcPr>
            <w:tcW w:w="1861" w:type="dxa"/>
          </w:tcPr>
          <w:p w:rsidR="0070436F" w:rsidRPr="0070436F" w:rsidRDefault="0070436F" w:rsidP="0070436F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>T: antidiabetics, hormones</w:t>
            </w:r>
          </w:p>
          <w:p w:rsidR="001D08D1" w:rsidRDefault="0070436F" w:rsidP="0070436F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 xml:space="preserve">P: </w:t>
            </w:r>
            <w:r w:rsidR="003359B7" w:rsidRPr="0070436F">
              <w:rPr>
                <w:rFonts w:ascii="Arial" w:hAnsi="Arial" w:cs="Arial"/>
                <w:sz w:val="18"/>
                <w:szCs w:val="18"/>
              </w:rPr>
              <w:t>pancreatic</w:t>
            </w:r>
          </w:p>
          <w:p w:rsidR="00645F34" w:rsidRDefault="00645F34" w:rsidP="007043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Short, intermediate, or long acting?</w:t>
            </w:r>
          </w:p>
          <w:p w:rsidR="00645F34" w:rsidRPr="003814FB" w:rsidRDefault="00645F34" w:rsidP="007043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>Lowers blood glucose by stimulating glucose uptake in skeletal muscle and fat, inhibiting hepatic glucose production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>Hypoglycemia, allergic reactions (anaphylaxis)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>Assess pt for s/s of hypoglycemia and monitor body weight, AC and HS FSBS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Tamsulosin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HCl</w:t>
            </w:r>
            <w:proofErr w:type="spellEnd"/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Flomax</w:t>
            </w:r>
          </w:p>
        </w:tc>
        <w:tc>
          <w:tcPr>
            <w:tcW w:w="1235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 mg</w:t>
            </w:r>
          </w:p>
        </w:tc>
        <w:tc>
          <w:tcPr>
            <w:tcW w:w="1789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0900 PO</w:t>
            </w:r>
          </w:p>
        </w:tc>
        <w:tc>
          <w:tcPr>
            <w:tcW w:w="1861" w:type="dxa"/>
          </w:tcPr>
          <w:p w:rsidR="001D08D1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NA</w:t>
            </w:r>
          </w:p>
          <w:p w:rsidR="0070436F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peripherally acting anti-adrenergics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contractions in smooth muscle of the prostatic capsule by preferentially binding to alpha 1 adrenergic receptors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Prostatic hyperplasia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I/O, bladder distension, </w:t>
            </w:r>
            <w:r w:rsidRPr="0070436F">
              <w:rPr>
                <w:rFonts w:ascii="Arial" w:hAnsi="Arial" w:cs="Arial"/>
                <w:sz w:val="18"/>
                <w:szCs w:val="18"/>
              </w:rPr>
              <w:t>type, location, and intensity of pain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Folic Acid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Folvite</w:t>
            </w:r>
            <w:proofErr w:type="spellEnd"/>
          </w:p>
        </w:tc>
        <w:tc>
          <w:tcPr>
            <w:tcW w:w="1235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mg</w:t>
            </w:r>
          </w:p>
        </w:tc>
        <w:tc>
          <w:tcPr>
            <w:tcW w:w="1789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QAM 0900 PO</w:t>
            </w:r>
          </w:p>
        </w:tc>
        <w:tc>
          <w:tcPr>
            <w:tcW w:w="1861" w:type="dxa"/>
          </w:tcPr>
          <w:p w:rsidR="0070436F" w:rsidRPr="0070436F" w:rsidRDefault="0070436F" w:rsidP="0070436F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>T: antianemics, vitamins</w:t>
            </w:r>
          </w:p>
          <w:p w:rsidR="001D08D1" w:rsidRPr="003814FB" w:rsidRDefault="0070436F" w:rsidP="0070436F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>P: water soluble vitamins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>Required for protein synthesis and red blood cell function. Stimulates production of red blood cells, white blood cells, and platelets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>Rash, irritability, difficulty sleeping, malaise, confusion, fever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>Anemia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70436F">
              <w:rPr>
                <w:rFonts w:ascii="Arial" w:hAnsi="Arial" w:cs="Arial"/>
                <w:sz w:val="18"/>
                <w:szCs w:val="18"/>
              </w:rPr>
              <w:t>Assess pt for s/s of anemia; fatigue, weakness, dyspnea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Cyanocobalamin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3F6439">
              <w:rPr>
                <w:rFonts w:ascii="Arial" w:hAnsi="Arial" w:cs="Arial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235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micrograms</w:t>
            </w:r>
          </w:p>
        </w:tc>
        <w:tc>
          <w:tcPr>
            <w:tcW w:w="1789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QAM 0900 PO</w:t>
            </w:r>
          </w:p>
        </w:tc>
        <w:tc>
          <w:tcPr>
            <w:tcW w:w="1861" w:type="dxa"/>
          </w:tcPr>
          <w:p w:rsidR="001D08D1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antianemics, vitamins</w:t>
            </w:r>
          </w:p>
          <w:p w:rsidR="0070436F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water soluble vitamins</w:t>
            </w:r>
          </w:p>
        </w:tc>
        <w:tc>
          <w:tcPr>
            <w:tcW w:w="1778" w:type="dxa"/>
          </w:tcPr>
          <w:p w:rsidR="001D08D1" w:rsidRPr="003814FB" w:rsidRDefault="0070436F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Necessary coenzyme for metabolic processes like fat and carbohydrate metabolism and protein synthesis, cell reproduction, and hematopoiesis</w:t>
            </w:r>
          </w:p>
        </w:tc>
        <w:tc>
          <w:tcPr>
            <w:tcW w:w="1778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heart failure, diarrhea, itching, edema, hypokalemia, thrombocytosis, pulmonary edema</w:t>
            </w:r>
          </w:p>
        </w:tc>
        <w:tc>
          <w:tcPr>
            <w:tcW w:w="1778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Nutritional deficiency</w:t>
            </w:r>
          </w:p>
        </w:tc>
        <w:tc>
          <w:tcPr>
            <w:tcW w:w="1778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pt nutritional status, diet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Digoxin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Lanoxin</w:t>
            </w:r>
          </w:p>
        </w:tc>
        <w:tc>
          <w:tcPr>
            <w:tcW w:w="1235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0.125 mg </w:t>
            </w:r>
          </w:p>
        </w:tc>
        <w:tc>
          <w:tcPr>
            <w:tcW w:w="1789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0900 PO</w:t>
            </w:r>
          </w:p>
        </w:tc>
        <w:tc>
          <w:tcPr>
            <w:tcW w:w="1861" w:type="dxa"/>
          </w:tcPr>
          <w:p w:rsidR="001D08D1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T: </w:t>
            </w:r>
            <w:r w:rsidR="003359B7">
              <w:rPr>
                <w:rFonts w:ascii="Arial" w:hAnsi="Arial" w:cs="Arial"/>
                <w:sz w:val="18"/>
                <w:szCs w:val="18"/>
              </w:rPr>
              <w:t>antiarrhythmic</w:t>
            </w:r>
            <w:r>
              <w:rPr>
                <w:rFonts w:ascii="Arial" w:hAnsi="Arial" w:cs="Arial"/>
                <w:sz w:val="18"/>
                <w:szCs w:val="18"/>
              </w:rPr>
              <w:t>, inotropics</w:t>
            </w:r>
          </w:p>
          <w:p w:rsidR="003B3049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digitalis glycosides</w:t>
            </w:r>
          </w:p>
        </w:tc>
        <w:tc>
          <w:tcPr>
            <w:tcW w:w="1778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Increases force of myocardial contraction, prolongs refractory period of the AV node, decreases conduction through SA and AV nodes</w:t>
            </w:r>
          </w:p>
        </w:tc>
        <w:tc>
          <w:tcPr>
            <w:tcW w:w="1778" w:type="dxa"/>
          </w:tcPr>
          <w:p w:rsidR="001D08D1" w:rsidRPr="003814FB" w:rsidRDefault="003B3049" w:rsidP="003B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Fatigue, arrhythmias bradycardia, anorexia, N/V</w:t>
            </w:r>
          </w:p>
        </w:tc>
        <w:tc>
          <w:tcPr>
            <w:tcW w:w="1778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Irregular heartbeat</w:t>
            </w:r>
          </w:p>
        </w:tc>
        <w:tc>
          <w:tcPr>
            <w:tcW w:w="1778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Apical pulse for 1 min, I/O, lung sounds,</w:t>
            </w:r>
            <w:r w:rsidR="00446E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6E00" w:rsidRP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monitor </w:t>
            </w:r>
            <w:proofErr w:type="spellStart"/>
            <w:r w:rsidR="00446E00" w:rsidRP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t>pt</w:t>
            </w:r>
            <w:proofErr w:type="spellEnd"/>
            <w:r w:rsidR="00446E00" w:rsidRP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serum levels of </w:t>
            </w:r>
            <w:proofErr w:type="spellStart"/>
            <w:r w:rsidR="00446E00" w:rsidRP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t>Lanoxin</w:t>
            </w:r>
            <w:proofErr w:type="spellEnd"/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Aspirin</w:t>
            </w:r>
          </w:p>
          <w:p w:rsidR="003B3049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Bayer</w:t>
            </w:r>
          </w:p>
        </w:tc>
        <w:tc>
          <w:tcPr>
            <w:tcW w:w="1235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325 mg</w:t>
            </w:r>
          </w:p>
        </w:tc>
        <w:tc>
          <w:tcPr>
            <w:tcW w:w="1789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0900 PO</w:t>
            </w:r>
          </w:p>
        </w:tc>
        <w:tc>
          <w:tcPr>
            <w:tcW w:w="1861" w:type="dxa"/>
          </w:tcPr>
          <w:p w:rsidR="003B3049" w:rsidRPr="003B3049" w:rsidRDefault="003B3049" w:rsidP="003B3049">
            <w:pPr>
              <w:rPr>
                <w:rFonts w:ascii="Arial" w:hAnsi="Arial" w:cs="Arial"/>
                <w:sz w:val="18"/>
                <w:szCs w:val="18"/>
              </w:rPr>
            </w:pPr>
            <w:r w:rsidRPr="003B3049">
              <w:rPr>
                <w:rFonts w:ascii="Arial" w:hAnsi="Arial" w:cs="Arial"/>
                <w:sz w:val="18"/>
                <w:szCs w:val="18"/>
              </w:rPr>
              <w:t xml:space="preserve">T: antipyretics, </w:t>
            </w:r>
            <w:r w:rsidRPr="003B3049">
              <w:rPr>
                <w:rFonts w:ascii="Arial" w:hAnsi="Arial" w:cs="Arial"/>
                <w:sz w:val="18"/>
                <w:szCs w:val="18"/>
              </w:rPr>
              <w:lastRenderedPageBreak/>
              <w:t>nonopioid analgesics</w:t>
            </w:r>
          </w:p>
          <w:p w:rsidR="001D08D1" w:rsidRPr="003814FB" w:rsidRDefault="003B3049" w:rsidP="003B3049">
            <w:pPr>
              <w:rPr>
                <w:rFonts w:ascii="Arial" w:hAnsi="Arial" w:cs="Arial"/>
                <w:sz w:val="18"/>
                <w:szCs w:val="18"/>
              </w:rPr>
            </w:pPr>
            <w:r w:rsidRPr="003B3049">
              <w:rPr>
                <w:rFonts w:ascii="Arial" w:hAnsi="Arial" w:cs="Arial"/>
                <w:sz w:val="18"/>
                <w:szCs w:val="18"/>
              </w:rPr>
              <w:t>P: salicylates</w:t>
            </w:r>
          </w:p>
        </w:tc>
        <w:tc>
          <w:tcPr>
            <w:tcW w:w="1778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3B3049">
              <w:rPr>
                <w:rFonts w:ascii="Arial" w:hAnsi="Arial" w:cs="Arial"/>
                <w:sz w:val="18"/>
                <w:szCs w:val="18"/>
              </w:rPr>
              <w:lastRenderedPageBreak/>
              <w:t xml:space="preserve">Produce analgesia </w:t>
            </w:r>
            <w:r w:rsidRPr="003B3049">
              <w:rPr>
                <w:rFonts w:ascii="Arial" w:hAnsi="Arial" w:cs="Arial"/>
                <w:sz w:val="18"/>
                <w:szCs w:val="18"/>
              </w:rPr>
              <w:lastRenderedPageBreak/>
              <w:t>and reduce inflammation and fever by inhibiting the production of prostaglandins</w:t>
            </w:r>
          </w:p>
        </w:tc>
        <w:tc>
          <w:tcPr>
            <w:tcW w:w="1778" w:type="dxa"/>
          </w:tcPr>
          <w:p w:rsidR="001D08D1" w:rsidRPr="003814FB" w:rsidRDefault="003B3049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3B3049">
              <w:rPr>
                <w:rFonts w:ascii="Arial" w:hAnsi="Arial" w:cs="Arial"/>
                <w:sz w:val="18"/>
                <w:szCs w:val="18"/>
              </w:rPr>
              <w:lastRenderedPageBreak/>
              <w:t xml:space="preserve">GI bleeding, </w:t>
            </w:r>
            <w:r w:rsidRPr="003B3049">
              <w:rPr>
                <w:rFonts w:ascii="Arial" w:hAnsi="Arial" w:cs="Arial"/>
                <w:sz w:val="18"/>
                <w:szCs w:val="18"/>
              </w:rPr>
              <w:lastRenderedPageBreak/>
              <w:t>dyspepsia, epigastric distress, nausea, anaphylaxis, laryngeal edema</w:t>
            </w:r>
          </w:p>
        </w:tc>
        <w:tc>
          <w:tcPr>
            <w:tcW w:w="1778" w:type="dxa"/>
          </w:tcPr>
          <w:p w:rsidR="001D08D1" w:rsidRPr="00446E00" w:rsidRDefault="003B3049" w:rsidP="00B037D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Prevent </w:t>
            </w:r>
            <w:r w:rsidR="00B037D1">
              <w:rPr>
                <w:rFonts w:ascii="Arial" w:hAnsi="Arial" w:cs="Arial"/>
                <w:sz w:val="18"/>
                <w:szCs w:val="18"/>
              </w:rPr>
              <w:t>DVT</w:t>
            </w:r>
            <w:r w:rsid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, MI </w:t>
            </w:r>
            <w:r w:rsid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and Stroke</w:t>
            </w:r>
          </w:p>
        </w:tc>
        <w:tc>
          <w:tcPr>
            <w:tcW w:w="1778" w:type="dxa"/>
          </w:tcPr>
          <w:p w:rsidR="001D08D1" w:rsidRPr="00446E00" w:rsidRDefault="008A4D3A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A4D3A">
              <w:rPr>
                <w:rFonts w:ascii="Arial" w:hAnsi="Arial" w:cs="Arial"/>
                <w:sz w:val="18"/>
                <w:szCs w:val="18"/>
              </w:rPr>
              <w:lastRenderedPageBreak/>
              <w:t xml:space="preserve">Assess pt for </w:t>
            </w:r>
            <w:r w:rsidRPr="008A4D3A">
              <w:rPr>
                <w:rFonts w:ascii="Arial" w:hAnsi="Arial" w:cs="Arial"/>
                <w:sz w:val="18"/>
                <w:szCs w:val="18"/>
              </w:rPr>
              <w:lastRenderedPageBreak/>
              <w:t>allergies, monitor PT, PTT, and INR levels, SCD</w:t>
            </w:r>
            <w:r w:rsidR="00446E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t>bleeding precautions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Calcium/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Oyst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-Cal w/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1235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mg</w:t>
            </w:r>
          </w:p>
        </w:tc>
        <w:tc>
          <w:tcPr>
            <w:tcW w:w="1789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0900 PO</w:t>
            </w:r>
          </w:p>
        </w:tc>
        <w:tc>
          <w:tcPr>
            <w:tcW w:w="1861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mineral and electrolyte replacement and/or supplements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Essential for nervous, muscular and skeletal systems, maintains cell membrane and capillary permeability, acts 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activatior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nerve impulse transmission and contraction of cardiac, skeletal, and smooth muscle, essential for bone formation and blood coagulation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 and constipation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Osteoarthritis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pt for s/s of </w:t>
            </w:r>
            <w:r w:rsidR="000F478D">
              <w:rPr>
                <w:rFonts w:ascii="Arial" w:hAnsi="Arial" w:cs="Arial"/>
                <w:sz w:val="18"/>
                <w:szCs w:val="18"/>
              </w:rPr>
              <w:t>hypocalcaemia</w:t>
            </w:r>
            <w:r>
              <w:rPr>
                <w:rFonts w:ascii="Arial" w:hAnsi="Arial" w:cs="Arial"/>
                <w:sz w:val="18"/>
                <w:szCs w:val="18"/>
              </w:rPr>
              <w:t xml:space="preserve"> and monitor pt serum levels of Lanoxin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Levofloxacin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Levaquin</w:t>
            </w:r>
          </w:p>
        </w:tc>
        <w:tc>
          <w:tcPr>
            <w:tcW w:w="1235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 mg</w:t>
            </w:r>
          </w:p>
        </w:tc>
        <w:tc>
          <w:tcPr>
            <w:tcW w:w="1789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2000 PO</w:t>
            </w:r>
          </w:p>
        </w:tc>
        <w:tc>
          <w:tcPr>
            <w:tcW w:w="1861" w:type="dxa"/>
          </w:tcPr>
          <w:p w:rsidR="001D08D1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anti-infective</w:t>
            </w:r>
          </w:p>
          <w:p w:rsidR="00342733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fluoroquinolones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bacterial DNA synthesis by inhibiting DNA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gyrase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enzyme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arrhythmias, hepatotoxicity, pseudomembranous colitis, nausea, hypersensitivity reactions (anaphylaxis)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WBC labs, assess catheter site and urine color, clarity, and amount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Acetaminophen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Tylenol XS</w:t>
            </w:r>
          </w:p>
        </w:tc>
        <w:tc>
          <w:tcPr>
            <w:tcW w:w="1235" w:type="dxa"/>
          </w:tcPr>
          <w:p w:rsidR="001D08D1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mg</w:t>
            </w:r>
          </w:p>
          <w:p w:rsidR="00B037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 mg</w:t>
            </w:r>
          </w:p>
        </w:tc>
        <w:tc>
          <w:tcPr>
            <w:tcW w:w="1789" w:type="dxa"/>
          </w:tcPr>
          <w:p w:rsidR="001D08D1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Q6H PRN PO </w:t>
            </w:r>
          </w:p>
          <w:p w:rsidR="00B037D1" w:rsidRPr="00645F34" w:rsidRDefault="00B037D1" w:rsidP="00E8032D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645F34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Q6H PRN PO</w:t>
            </w:r>
          </w:p>
        </w:tc>
        <w:tc>
          <w:tcPr>
            <w:tcW w:w="1861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>T: antipyretics, nonopioid analgesics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>Inhibits the syntheses of prostaglandins that may serve as mediators of pain and fever, primarily in CNS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>Hepatic failure, hepatotoxicity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</w:tc>
        <w:tc>
          <w:tcPr>
            <w:tcW w:w="1778" w:type="dxa"/>
          </w:tcPr>
          <w:p w:rsidR="001D08D1" w:rsidRPr="00446E00" w:rsidRDefault="00B037D1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</w:t>
            </w:r>
            <w:r w:rsidRPr="00B037D1">
              <w:rPr>
                <w:rFonts w:ascii="Arial" w:hAnsi="Arial" w:cs="Arial"/>
                <w:sz w:val="18"/>
                <w:szCs w:val="18"/>
              </w:rPr>
              <w:t>type, location, and intensity of pain</w:t>
            </w:r>
            <w:r w:rsidR="00446E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t>what is the max amount of Tylenol a person can safely take in a 24 hour period?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/Mg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Mylanta Plus</w:t>
            </w:r>
          </w:p>
        </w:tc>
        <w:tc>
          <w:tcPr>
            <w:tcW w:w="1235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mL</w:t>
            </w:r>
          </w:p>
        </w:tc>
        <w:tc>
          <w:tcPr>
            <w:tcW w:w="1789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0F478D" w:rsidRPr="000F478D" w:rsidRDefault="000F478D" w:rsidP="000F478D">
            <w:pPr>
              <w:rPr>
                <w:rFonts w:ascii="Arial" w:hAnsi="Arial" w:cs="Arial"/>
                <w:sz w:val="18"/>
                <w:szCs w:val="18"/>
              </w:rPr>
            </w:pPr>
            <w:r w:rsidRPr="000F478D">
              <w:rPr>
                <w:rFonts w:ascii="Arial" w:hAnsi="Arial" w:cs="Arial"/>
                <w:sz w:val="18"/>
                <w:szCs w:val="18"/>
              </w:rPr>
              <w:t>T: antiulcer agents</w:t>
            </w:r>
          </w:p>
          <w:p w:rsidR="001D08D1" w:rsidRPr="003814FB" w:rsidRDefault="000F478D" w:rsidP="000F478D">
            <w:pPr>
              <w:rPr>
                <w:rFonts w:ascii="Arial" w:hAnsi="Arial" w:cs="Arial"/>
                <w:sz w:val="18"/>
                <w:szCs w:val="18"/>
              </w:rPr>
            </w:pPr>
            <w:r w:rsidRPr="000F478D">
              <w:rPr>
                <w:rFonts w:ascii="Arial" w:hAnsi="Arial" w:cs="Arial"/>
                <w:sz w:val="18"/>
                <w:szCs w:val="18"/>
              </w:rPr>
              <w:t>C: antacids</w:t>
            </w:r>
          </w:p>
        </w:tc>
        <w:tc>
          <w:tcPr>
            <w:tcW w:w="1778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0F478D">
              <w:rPr>
                <w:rFonts w:ascii="Arial" w:hAnsi="Arial" w:cs="Arial"/>
                <w:sz w:val="18"/>
                <w:szCs w:val="18"/>
              </w:rPr>
              <w:t>Neutralize gastric acid following dissolution in gastric contents, inactivate pepsin if pH is raised to 4</w:t>
            </w:r>
          </w:p>
        </w:tc>
        <w:tc>
          <w:tcPr>
            <w:tcW w:w="1778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0F478D">
              <w:rPr>
                <w:rFonts w:ascii="Arial" w:hAnsi="Arial" w:cs="Arial"/>
                <w:sz w:val="18"/>
                <w:szCs w:val="18"/>
              </w:rPr>
              <w:t>Constipation, diarrhea</w:t>
            </w:r>
          </w:p>
        </w:tc>
        <w:tc>
          <w:tcPr>
            <w:tcW w:w="1778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Upset stomach</w:t>
            </w:r>
          </w:p>
        </w:tc>
        <w:tc>
          <w:tcPr>
            <w:tcW w:w="1778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pt BM daily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Multi-ingredient ointment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Eucerin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Unscented</w:t>
            </w:r>
          </w:p>
        </w:tc>
        <w:tc>
          <w:tcPr>
            <w:tcW w:w="1235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789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TOP</w:t>
            </w:r>
          </w:p>
        </w:tc>
        <w:tc>
          <w:tcPr>
            <w:tcW w:w="1861" w:type="dxa"/>
          </w:tcPr>
          <w:p w:rsidR="001D08D1" w:rsidRPr="00645F34" w:rsidRDefault="00645F34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????????????</w:t>
            </w:r>
          </w:p>
        </w:tc>
        <w:tc>
          <w:tcPr>
            <w:tcW w:w="1778" w:type="dxa"/>
          </w:tcPr>
          <w:p w:rsidR="001D08D1" w:rsidRPr="00645F34" w:rsidRDefault="00645F34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??????????</w:t>
            </w:r>
          </w:p>
        </w:tc>
        <w:tc>
          <w:tcPr>
            <w:tcW w:w="1778" w:type="dxa"/>
          </w:tcPr>
          <w:p w:rsidR="001D08D1" w:rsidRPr="00645F34" w:rsidRDefault="00645F34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?????????????</w:t>
            </w:r>
          </w:p>
        </w:tc>
        <w:tc>
          <w:tcPr>
            <w:tcW w:w="1778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Dry skin</w:t>
            </w:r>
          </w:p>
        </w:tc>
        <w:tc>
          <w:tcPr>
            <w:tcW w:w="1778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pt skin integrity, moisture/dryness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Nitroglycerin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Nitro Stat</w:t>
            </w:r>
          </w:p>
        </w:tc>
        <w:tc>
          <w:tcPr>
            <w:tcW w:w="1235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 mg</w:t>
            </w:r>
          </w:p>
        </w:tc>
        <w:tc>
          <w:tcPr>
            <w:tcW w:w="1789" w:type="dxa"/>
          </w:tcPr>
          <w:p w:rsidR="001D08D1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Q5min PRN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SubL</w:t>
            </w:r>
            <w:proofErr w:type="spellEnd"/>
          </w:p>
          <w:p w:rsidR="00B037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1861" w:type="dxa"/>
          </w:tcPr>
          <w:p w:rsidR="00B037D1" w:rsidRPr="00B037D1" w:rsidRDefault="00B037D1" w:rsidP="00B037D1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>T: antianginals</w:t>
            </w:r>
          </w:p>
          <w:p w:rsidR="001D08D1" w:rsidRPr="003814FB" w:rsidRDefault="00B037D1" w:rsidP="00B037D1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>C: nitrates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 xml:space="preserve">Increases coronary blood flow by dilating coronary </w:t>
            </w:r>
            <w:r w:rsidRPr="00B037D1">
              <w:rPr>
                <w:rFonts w:ascii="Arial" w:hAnsi="Arial" w:cs="Arial"/>
                <w:sz w:val="18"/>
                <w:szCs w:val="18"/>
              </w:rPr>
              <w:lastRenderedPageBreak/>
              <w:t>arteries and improving collateral flow to ischemic regions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lastRenderedPageBreak/>
              <w:t xml:space="preserve">Dizziness, headache, hypotension, </w:t>
            </w:r>
            <w:r w:rsidRPr="00B037D1">
              <w:rPr>
                <w:rFonts w:ascii="Arial" w:hAnsi="Arial" w:cs="Arial"/>
                <w:sz w:val="18"/>
                <w:szCs w:val="18"/>
              </w:rPr>
              <w:lastRenderedPageBreak/>
              <w:t>tachycardia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Prevent MI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 xml:space="preserve">Assess pt for chest pain, BP and pulse before and after </w:t>
            </w:r>
            <w:r w:rsidRPr="00B037D1">
              <w:rPr>
                <w:rFonts w:ascii="Arial" w:hAnsi="Arial" w:cs="Arial"/>
                <w:sz w:val="18"/>
                <w:szCs w:val="18"/>
              </w:rPr>
              <w:lastRenderedPageBreak/>
              <w:t>administration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Temazepam</w:t>
            </w:r>
            <w:proofErr w:type="spellEnd"/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Restoril</w:t>
            </w:r>
            <w:proofErr w:type="spellEnd"/>
          </w:p>
        </w:tc>
        <w:tc>
          <w:tcPr>
            <w:tcW w:w="1235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mg</w:t>
            </w:r>
          </w:p>
        </w:tc>
        <w:tc>
          <w:tcPr>
            <w:tcW w:w="1789" w:type="dxa"/>
          </w:tcPr>
          <w:p w:rsidR="000F478D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HS PO</w:t>
            </w:r>
          </w:p>
        </w:tc>
        <w:tc>
          <w:tcPr>
            <w:tcW w:w="1861" w:type="dxa"/>
          </w:tcPr>
          <w:p w:rsidR="000F478D" w:rsidRPr="000F478D" w:rsidRDefault="000F478D" w:rsidP="000F478D">
            <w:pPr>
              <w:rPr>
                <w:rFonts w:ascii="Arial" w:hAnsi="Arial" w:cs="Arial"/>
                <w:sz w:val="18"/>
                <w:szCs w:val="18"/>
              </w:rPr>
            </w:pPr>
            <w:r w:rsidRPr="000F478D">
              <w:rPr>
                <w:rFonts w:ascii="Arial" w:hAnsi="Arial" w:cs="Arial"/>
                <w:sz w:val="18"/>
                <w:szCs w:val="18"/>
              </w:rPr>
              <w:t>T: sedative/hypnotic</w:t>
            </w:r>
          </w:p>
          <w:p w:rsidR="001D08D1" w:rsidRPr="003814FB" w:rsidRDefault="000F478D" w:rsidP="000F478D">
            <w:pPr>
              <w:rPr>
                <w:rFonts w:ascii="Arial" w:hAnsi="Arial" w:cs="Arial"/>
                <w:sz w:val="18"/>
                <w:szCs w:val="18"/>
              </w:rPr>
            </w:pPr>
            <w:r w:rsidRPr="000F478D">
              <w:rPr>
                <w:rFonts w:ascii="Arial" w:hAnsi="Arial" w:cs="Arial"/>
                <w:sz w:val="18"/>
                <w:szCs w:val="18"/>
              </w:rPr>
              <w:t>P: benzodiazepines</w:t>
            </w:r>
          </w:p>
        </w:tc>
        <w:tc>
          <w:tcPr>
            <w:tcW w:w="1778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Acts at many levels in CNS producing generalized depression, effects may be mediated by GABA </w:t>
            </w:r>
          </w:p>
        </w:tc>
        <w:tc>
          <w:tcPr>
            <w:tcW w:w="1778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hangover</w:t>
            </w:r>
          </w:p>
        </w:tc>
        <w:tc>
          <w:tcPr>
            <w:tcW w:w="1778" w:type="dxa"/>
          </w:tcPr>
          <w:p w:rsidR="001D08D1" w:rsidRPr="003814FB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Insomnia</w:t>
            </w:r>
          </w:p>
        </w:tc>
        <w:tc>
          <w:tcPr>
            <w:tcW w:w="1778" w:type="dxa"/>
          </w:tcPr>
          <w:p w:rsidR="001D08D1" w:rsidRDefault="000F478D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sleep patterns</w:t>
            </w:r>
          </w:p>
          <w:p w:rsidR="00645F34" w:rsidRPr="00645F34" w:rsidRDefault="00645F34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What is the antidote for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benzos</w:t>
            </w:r>
            <w:proofErr w:type="spellEnd"/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?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Dextrose</w:t>
            </w:r>
          </w:p>
          <w:p w:rsidR="003F6439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Dextrose 50%</w:t>
            </w:r>
          </w:p>
        </w:tc>
        <w:tc>
          <w:tcPr>
            <w:tcW w:w="1235" w:type="dxa"/>
          </w:tcPr>
          <w:p w:rsidR="001D08D1" w:rsidRPr="003814FB" w:rsidRDefault="003359B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789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342733">
              <w:rPr>
                <w:rFonts w:ascii="Arial" w:hAnsi="Arial" w:cs="Arial"/>
                <w:sz w:val="18"/>
                <w:szCs w:val="18"/>
              </w:rPr>
              <w:t xml:space="preserve">PRN </w:t>
            </w:r>
            <w:proofErr w:type="spellStart"/>
            <w:r w:rsidRPr="00342733">
              <w:rPr>
                <w:rFonts w:ascii="Arial" w:hAnsi="Arial" w:cs="Arial"/>
                <w:sz w:val="18"/>
                <w:szCs w:val="18"/>
              </w:rPr>
              <w:t>PRN</w:t>
            </w:r>
            <w:proofErr w:type="spellEnd"/>
            <w:r w:rsidRPr="00342733">
              <w:rPr>
                <w:rFonts w:ascii="Arial" w:hAnsi="Arial" w:cs="Arial"/>
                <w:sz w:val="18"/>
                <w:szCs w:val="18"/>
              </w:rPr>
              <w:t xml:space="preserve"> IVP</w:t>
            </w:r>
          </w:p>
        </w:tc>
        <w:tc>
          <w:tcPr>
            <w:tcW w:w="1861" w:type="dxa"/>
          </w:tcPr>
          <w:p w:rsidR="00B037D1" w:rsidRPr="00B037D1" w:rsidRDefault="00B037D1" w:rsidP="00B037D1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>T: caloric sources</w:t>
            </w:r>
          </w:p>
          <w:p w:rsidR="001D08D1" w:rsidRPr="003814FB" w:rsidRDefault="00B037D1" w:rsidP="00B037D1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>C: carbohydrates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>Provides calories, prevention and treatment of hypoglycemia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B037D1">
              <w:rPr>
                <w:rFonts w:ascii="Arial" w:hAnsi="Arial" w:cs="Arial"/>
                <w:sz w:val="18"/>
                <w:szCs w:val="18"/>
              </w:rPr>
              <w:t>Inappropriate insulin secretion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</w:t>
            </w:r>
          </w:p>
        </w:tc>
        <w:tc>
          <w:tcPr>
            <w:tcW w:w="1778" w:type="dxa"/>
          </w:tcPr>
          <w:p w:rsidR="001D08D1" w:rsidRPr="003814FB" w:rsidRDefault="00B037D1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pt FSBS AC and HS, nutritional status; diet</w:t>
            </w:r>
            <w:r w:rsidR="00342733">
              <w:rPr>
                <w:rFonts w:ascii="Arial" w:hAnsi="Arial" w:cs="Arial"/>
                <w:sz w:val="18"/>
                <w:szCs w:val="18"/>
              </w:rPr>
              <w:t>, hydration status, monitor IV site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Glucose 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Glutose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45</w:t>
            </w:r>
          </w:p>
        </w:tc>
        <w:tc>
          <w:tcPr>
            <w:tcW w:w="1235" w:type="dxa"/>
          </w:tcPr>
          <w:p w:rsidR="001D08D1" w:rsidRPr="003814FB" w:rsidRDefault="003359B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789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342733" w:rsidRPr="00342733" w:rsidRDefault="00342733" w:rsidP="00342733">
            <w:pPr>
              <w:rPr>
                <w:rFonts w:ascii="Arial" w:hAnsi="Arial" w:cs="Arial"/>
                <w:sz w:val="18"/>
                <w:szCs w:val="18"/>
              </w:rPr>
            </w:pPr>
            <w:r w:rsidRPr="00342733">
              <w:rPr>
                <w:rFonts w:ascii="Arial" w:hAnsi="Arial" w:cs="Arial"/>
                <w:sz w:val="18"/>
                <w:szCs w:val="18"/>
              </w:rPr>
              <w:t>T: caloric sources</w:t>
            </w:r>
          </w:p>
          <w:p w:rsidR="001D08D1" w:rsidRPr="003814FB" w:rsidRDefault="00342733" w:rsidP="00342733">
            <w:pPr>
              <w:rPr>
                <w:rFonts w:ascii="Arial" w:hAnsi="Arial" w:cs="Arial"/>
                <w:sz w:val="18"/>
                <w:szCs w:val="18"/>
              </w:rPr>
            </w:pPr>
            <w:r w:rsidRPr="00342733">
              <w:rPr>
                <w:rFonts w:ascii="Arial" w:hAnsi="Arial" w:cs="Arial"/>
                <w:sz w:val="18"/>
                <w:szCs w:val="18"/>
              </w:rPr>
              <w:t>C: carbohydrates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342733">
              <w:rPr>
                <w:rFonts w:ascii="Arial" w:hAnsi="Arial" w:cs="Arial"/>
                <w:sz w:val="18"/>
                <w:szCs w:val="18"/>
              </w:rPr>
              <w:t>Provides calories, prevention and treatment of hypoglycemia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342733">
              <w:rPr>
                <w:rFonts w:ascii="Arial" w:hAnsi="Arial" w:cs="Arial"/>
                <w:sz w:val="18"/>
                <w:szCs w:val="18"/>
              </w:rPr>
              <w:t>Inappropriate insulin secretion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</w:t>
            </w:r>
          </w:p>
        </w:tc>
        <w:tc>
          <w:tcPr>
            <w:tcW w:w="1778" w:type="dxa"/>
          </w:tcPr>
          <w:p w:rsidR="001D08D1" w:rsidRPr="003814FB" w:rsidRDefault="00342733" w:rsidP="00E8032D">
            <w:pPr>
              <w:rPr>
                <w:rFonts w:ascii="Arial" w:hAnsi="Arial" w:cs="Arial"/>
                <w:sz w:val="18"/>
                <w:szCs w:val="18"/>
              </w:rPr>
            </w:pPr>
            <w:r w:rsidRPr="00342733">
              <w:rPr>
                <w:rFonts w:ascii="Arial" w:hAnsi="Arial" w:cs="Arial"/>
                <w:sz w:val="18"/>
                <w:szCs w:val="18"/>
              </w:rPr>
              <w:t>Assess pt FSBS AC and HS, nutritional status; diet</w:t>
            </w:r>
            <w:r>
              <w:rPr>
                <w:rFonts w:ascii="Arial" w:hAnsi="Arial" w:cs="Arial"/>
                <w:sz w:val="18"/>
                <w:szCs w:val="18"/>
              </w:rPr>
              <w:t>, hydration status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Megestrol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acetate</w:t>
            </w:r>
          </w:p>
          <w:p w:rsidR="003F6439" w:rsidRPr="003814FB" w:rsidRDefault="003F6439" w:rsidP="00884A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Megace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5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 mg</w:t>
            </w:r>
          </w:p>
        </w:tc>
        <w:tc>
          <w:tcPr>
            <w:tcW w:w="1789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 0900</w:t>
            </w:r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>, 2100</w:t>
            </w:r>
            <w:r w:rsidR="00645F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1D08D1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antineoplastics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hormones</w:t>
            </w:r>
          </w:p>
          <w:p w:rsidR="00884AE7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progestins</w:t>
            </w:r>
            <w:proofErr w:type="spellEnd"/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Antineoplastic effect may result from inhibition of pituitary function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Thromboembolism, asymptomatic adrenal suppression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Anorexia; weight loss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weights, pt nutritional status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Trihexyphenidyl</w:t>
            </w:r>
            <w:proofErr w:type="spellEnd"/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Artane</w:t>
            </w:r>
          </w:p>
        </w:tc>
        <w:tc>
          <w:tcPr>
            <w:tcW w:w="1235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mg</w:t>
            </w:r>
          </w:p>
        </w:tc>
        <w:tc>
          <w:tcPr>
            <w:tcW w:w="1789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 0900</w:t>
            </w:r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>, 2100</w:t>
            </w:r>
            <w:r w:rsidR="00645F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1D08D1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antiparkinson agents</w:t>
            </w:r>
          </w:p>
          <w:p w:rsidR="00884AE7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anticholinergics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the action of acetylcholine resulting in decreased sweating and salivation, mydriasis, and increased heart rate, inhibits cerebral motor centers and blocks efferent impulses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nervousness, blurred vision, mydriasis, dry mouth, nausea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Parkinson’s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Parkinson s/s, I/O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oxide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Mag-Ox</w:t>
            </w:r>
          </w:p>
        </w:tc>
        <w:tc>
          <w:tcPr>
            <w:tcW w:w="1235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 mg</w:t>
            </w:r>
          </w:p>
        </w:tc>
        <w:tc>
          <w:tcPr>
            <w:tcW w:w="1789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 0900</w:t>
            </w:r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>, 2100</w:t>
            </w:r>
            <w:r w:rsidR="00645F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mineral and electrolyte replacement and/or supplement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for the activity of many enzymes, plays an important role in neurotransmission and muscular excitability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Dietary supplement</w:t>
            </w:r>
          </w:p>
        </w:tc>
        <w:tc>
          <w:tcPr>
            <w:tcW w:w="1778" w:type="dxa"/>
          </w:tcPr>
          <w:p w:rsidR="001D08D1" w:rsidRPr="003814FB" w:rsidRDefault="00884AE7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pt for s/s of </w:t>
            </w:r>
            <w:r w:rsidR="003359B7">
              <w:rPr>
                <w:rFonts w:ascii="Arial" w:hAnsi="Arial" w:cs="Arial"/>
                <w:sz w:val="18"/>
                <w:szCs w:val="18"/>
              </w:rPr>
              <w:t>hypomagnesaemia</w:t>
            </w:r>
            <w:r w:rsidR="00BB287C">
              <w:rPr>
                <w:rFonts w:ascii="Arial" w:hAnsi="Arial" w:cs="Arial"/>
                <w:sz w:val="18"/>
                <w:szCs w:val="18"/>
              </w:rPr>
              <w:t xml:space="preserve"> and monitor Mg levels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Carvedilol</w:t>
            </w:r>
            <w:proofErr w:type="spellEnd"/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Coreg</w:t>
            </w:r>
          </w:p>
        </w:tc>
        <w:tc>
          <w:tcPr>
            <w:tcW w:w="1235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 mg</w:t>
            </w:r>
          </w:p>
        </w:tc>
        <w:tc>
          <w:tcPr>
            <w:tcW w:w="1789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 0900</w:t>
            </w:r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>, 2100</w:t>
            </w:r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1D08D1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antihypertensives</w:t>
            </w:r>
          </w:p>
          <w:p w:rsidR="00BB287C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beta blockers</w:t>
            </w:r>
          </w:p>
        </w:tc>
        <w:tc>
          <w:tcPr>
            <w:tcW w:w="1778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Blocks stimulation of beta </w:t>
            </w:r>
            <w:r w:rsidRPr="00BB287C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and beta </w:t>
            </w:r>
            <w:r w:rsidRPr="00BB287C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adrenergic receptor sites</w:t>
            </w:r>
          </w:p>
        </w:tc>
        <w:tc>
          <w:tcPr>
            <w:tcW w:w="1778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Dizziness, fatigue, weakness, bradycardia, chf, pulmonary edema, diarrhea, erectile dysfunction, SJ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syndrome, toxic epidermal necrolysis, hyperglycemia, angioedema</w:t>
            </w:r>
          </w:p>
        </w:tc>
        <w:tc>
          <w:tcPr>
            <w:tcW w:w="1778" w:type="dxa"/>
          </w:tcPr>
          <w:p w:rsidR="001D08D1" w:rsidRPr="003814FB" w:rsidRDefault="004C4FE4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CHF</w:t>
            </w:r>
          </w:p>
        </w:tc>
        <w:tc>
          <w:tcPr>
            <w:tcW w:w="1778" w:type="dxa"/>
          </w:tcPr>
          <w:p w:rsidR="001D08D1" w:rsidRPr="00446E00" w:rsidRDefault="00BB287C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BP, I/O, orthostatic hypotension</w:t>
            </w:r>
            <w:r w:rsid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t>, HR</w:t>
            </w:r>
          </w:p>
        </w:tc>
      </w:tr>
      <w:tr w:rsidR="001D08D1" w:rsidRPr="003814FB" w:rsidTr="003814FB">
        <w:tc>
          <w:tcPr>
            <w:tcW w:w="2331" w:type="dxa"/>
          </w:tcPr>
          <w:p w:rsidR="003F6439" w:rsidRDefault="003F6439" w:rsidP="003F64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Quetiapine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fumarate</w:t>
            </w:r>
            <w:proofErr w:type="spellEnd"/>
          </w:p>
          <w:p w:rsidR="003F6439" w:rsidRPr="003814FB" w:rsidRDefault="003F6439" w:rsidP="003F6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Seroquel</w:t>
            </w:r>
          </w:p>
        </w:tc>
        <w:tc>
          <w:tcPr>
            <w:tcW w:w="1235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789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2200 PO</w:t>
            </w:r>
          </w:p>
        </w:tc>
        <w:tc>
          <w:tcPr>
            <w:tcW w:w="1861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antipsychotics</w:t>
            </w:r>
          </w:p>
        </w:tc>
        <w:tc>
          <w:tcPr>
            <w:tcW w:w="1778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Probably acts by serving as an antagonist of dopamine and serotonin and antagonizes histamine receptors and alpha</w:t>
            </w:r>
            <w:r w:rsidRPr="00BB287C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adrenergic receptors</w:t>
            </w:r>
          </w:p>
        </w:tc>
        <w:tc>
          <w:tcPr>
            <w:tcW w:w="1778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Neuroleptic malignant syndrome, seizures, dizziness, weight gain</w:t>
            </w:r>
          </w:p>
        </w:tc>
        <w:tc>
          <w:tcPr>
            <w:tcW w:w="1778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1778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pt mental status, BP, weight, pulse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Diazepam</w:t>
            </w:r>
          </w:p>
          <w:p w:rsidR="003F6439" w:rsidRPr="003814FB" w:rsidRDefault="003F643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valium</w:t>
            </w:r>
          </w:p>
        </w:tc>
        <w:tc>
          <w:tcPr>
            <w:tcW w:w="1235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mg</w:t>
            </w:r>
          </w:p>
        </w:tc>
        <w:tc>
          <w:tcPr>
            <w:tcW w:w="1789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 0900</w:t>
            </w:r>
            <w:r w:rsidR="00645F3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1400, 2200</w:t>
            </w:r>
            <w:r>
              <w:rPr>
                <w:rFonts w:ascii="Arial" w:hAnsi="Arial" w:cs="Arial"/>
                <w:sz w:val="18"/>
                <w:szCs w:val="18"/>
              </w:rPr>
              <w:t xml:space="preserve"> PO</w:t>
            </w:r>
          </w:p>
        </w:tc>
        <w:tc>
          <w:tcPr>
            <w:tcW w:w="1861" w:type="dxa"/>
          </w:tcPr>
          <w:p w:rsidR="001D08D1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antianxiety agent, anticonvulsants, sedative/hypnotics, skeletal muscle relaxants</w:t>
            </w:r>
          </w:p>
          <w:p w:rsidR="00BB287C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benzodiazepines</w:t>
            </w:r>
          </w:p>
        </w:tc>
        <w:tc>
          <w:tcPr>
            <w:tcW w:w="1778" w:type="dxa"/>
          </w:tcPr>
          <w:p w:rsidR="001D08D1" w:rsidRPr="003814FB" w:rsidRDefault="00BB287C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Depresses CNS, produces skeletal muscle relaxation by inhibiting spinal polysynaptic afferent pathways, has anticonvulsant properties due to enhanced presynaptic inhibition</w:t>
            </w:r>
          </w:p>
        </w:tc>
        <w:tc>
          <w:tcPr>
            <w:tcW w:w="1778" w:type="dxa"/>
          </w:tcPr>
          <w:p w:rsidR="001D08D1" w:rsidRPr="003814FB" w:rsidRDefault="00DC1FB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drowsiness, lethargy</w:t>
            </w:r>
          </w:p>
        </w:tc>
        <w:tc>
          <w:tcPr>
            <w:tcW w:w="1778" w:type="dxa"/>
          </w:tcPr>
          <w:p w:rsidR="001D08D1" w:rsidRPr="003814FB" w:rsidRDefault="00DC1FB9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Tremor r/t Parkinson’s</w:t>
            </w:r>
          </w:p>
        </w:tc>
        <w:tc>
          <w:tcPr>
            <w:tcW w:w="1778" w:type="dxa"/>
          </w:tcPr>
          <w:p w:rsidR="001D08D1" w:rsidRDefault="00DC1FB9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BP, pulse, RR, </w:t>
            </w:r>
            <w:r w:rsidR="00446E00">
              <w:rPr>
                <w:rFonts w:ascii="Arial" w:hAnsi="Arial" w:cs="Arial"/>
                <w:b/>
                <w:color w:val="FF0000"/>
                <w:sz w:val="18"/>
                <w:szCs w:val="18"/>
              </w:rPr>
              <w:t>LOC</w:t>
            </w:r>
          </w:p>
          <w:p w:rsidR="00446E00" w:rsidRPr="00446E00" w:rsidRDefault="00446E00" w:rsidP="00E803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46E00" w:rsidRPr="003814FB" w:rsidRDefault="00446E00" w:rsidP="00E80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What is the antidote for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benzos</w:t>
            </w:r>
            <w:proofErr w:type="spellEnd"/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?</w:t>
            </w:r>
          </w:p>
        </w:tc>
      </w:tr>
    </w:tbl>
    <w:p w:rsidR="00A112BB" w:rsidRDefault="00A112BB" w:rsidP="00E8032D">
      <w:pPr>
        <w:rPr>
          <w:rFonts w:ascii="Arial" w:hAnsi="Arial" w:cs="Arial"/>
          <w:sz w:val="20"/>
          <w:szCs w:val="20"/>
        </w:rPr>
      </w:pPr>
    </w:p>
    <w:p w:rsidR="005503DC" w:rsidRPr="001D08D1" w:rsidRDefault="005503DC" w:rsidP="00E8032D">
      <w:pPr>
        <w:rPr>
          <w:rFonts w:ascii="Arial" w:hAnsi="Arial" w:cs="Arial"/>
          <w:sz w:val="20"/>
          <w:szCs w:val="20"/>
        </w:rPr>
      </w:pPr>
      <w:r w:rsidRPr="005503DC">
        <w:rPr>
          <w:rFonts w:ascii="Arial" w:hAnsi="Arial" w:cs="Arial"/>
          <w:sz w:val="20"/>
          <w:szCs w:val="20"/>
        </w:rPr>
        <w:t>Skyscape 1998-2011. http://sky</w:t>
      </w:r>
      <w:r>
        <w:rPr>
          <w:rFonts w:ascii="Arial" w:hAnsi="Arial" w:cs="Arial"/>
          <w:sz w:val="20"/>
          <w:szCs w:val="20"/>
        </w:rPr>
        <w:t>scape.com. Davis’s Drug Guide. 29</w:t>
      </w:r>
      <w:r w:rsidRPr="005503DC">
        <w:rPr>
          <w:rFonts w:ascii="Arial" w:hAnsi="Arial" w:cs="Arial"/>
          <w:sz w:val="20"/>
          <w:szCs w:val="20"/>
        </w:rPr>
        <w:t xml:space="preserve"> February 2012</w:t>
      </w:r>
    </w:p>
    <w:sectPr w:rsidR="005503DC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DF" w:rsidRDefault="00125ADF" w:rsidP="000F478D">
      <w:r>
        <w:separator/>
      </w:r>
    </w:p>
  </w:endnote>
  <w:endnote w:type="continuationSeparator" w:id="0">
    <w:p w:rsidR="00125ADF" w:rsidRDefault="00125ADF" w:rsidP="000F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DF" w:rsidRDefault="00125ADF" w:rsidP="000F478D">
      <w:r>
        <w:separator/>
      </w:r>
    </w:p>
  </w:footnote>
  <w:footnote w:type="continuationSeparator" w:id="0">
    <w:p w:rsidR="00125ADF" w:rsidRDefault="00125ADF" w:rsidP="000F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8D1"/>
    <w:rsid w:val="00066F2E"/>
    <w:rsid w:val="000F478D"/>
    <w:rsid w:val="00125ADF"/>
    <w:rsid w:val="001D08D1"/>
    <w:rsid w:val="001D268D"/>
    <w:rsid w:val="001E2E3B"/>
    <w:rsid w:val="00216ABD"/>
    <w:rsid w:val="002C49F6"/>
    <w:rsid w:val="002E4DCC"/>
    <w:rsid w:val="003359B7"/>
    <w:rsid w:val="00342733"/>
    <w:rsid w:val="0037604A"/>
    <w:rsid w:val="003814FB"/>
    <w:rsid w:val="003A7C12"/>
    <w:rsid w:val="003B3049"/>
    <w:rsid w:val="003F6439"/>
    <w:rsid w:val="00446E00"/>
    <w:rsid w:val="004C4FE4"/>
    <w:rsid w:val="005229C8"/>
    <w:rsid w:val="0053431C"/>
    <w:rsid w:val="005503DC"/>
    <w:rsid w:val="005A6056"/>
    <w:rsid w:val="00645F34"/>
    <w:rsid w:val="0070436F"/>
    <w:rsid w:val="00741C14"/>
    <w:rsid w:val="007C636A"/>
    <w:rsid w:val="007D23F0"/>
    <w:rsid w:val="007D501C"/>
    <w:rsid w:val="00854595"/>
    <w:rsid w:val="00884AE7"/>
    <w:rsid w:val="008A4D3A"/>
    <w:rsid w:val="008D78E9"/>
    <w:rsid w:val="009678DB"/>
    <w:rsid w:val="009C784E"/>
    <w:rsid w:val="00A112BB"/>
    <w:rsid w:val="00A4583B"/>
    <w:rsid w:val="00B037D1"/>
    <w:rsid w:val="00B14697"/>
    <w:rsid w:val="00B44340"/>
    <w:rsid w:val="00BA3375"/>
    <w:rsid w:val="00BB287C"/>
    <w:rsid w:val="00CB1E8A"/>
    <w:rsid w:val="00D22821"/>
    <w:rsid w:val="00D86AF1"/>
    <w:rsid w:val="00D91DF6"/>
    <w:rsid w:val="00DA40FB"/>
    <w:rsid w:val="00DC1FB9"/>
    <w:rsid w:val="00E8032D"/>
    <w:rsid w:val="00F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47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478D"/>
    <w:rPr>
      <w:sz w:val="24"/>
      <w:szCs w:val="24"/>
    </w:rPr>
  </w:style>
  <w:style w:type="paragraph" w:styleId="Footer">
    <w:name w:val="footer"/>
    <w:basedOn w:val="Normal"/>
    <w:link w:val="FooterChar"/>
    <w:rsid w:val="000F47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47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Ryan and Dawn</cp:lastModifiedBy>
  <cp:revision>2</cp:revision>
  <dcterms:created xsi:type="dcterms:W3CDTF">2012-03-07T19:11:00Z</dcterms:created>
  <dcterms:modified xsi:type="dcterms:W3CDTF">2012-03-07T19:11:00Z</dcterms:modified>
</cp:coreProperties>
</file>