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0F" w:rsidRPr="00F1180F" w:rsidRDefault="00F1180F" w:rsidP="00F1180F">
      <w:pPr>
        <w:spacing w:before="100" w:beforeAutospacing="1" w:after="100" w:afterAutospacing="1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18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Introduction</w:t>
      </w:r>
    </w:p>
    <w:p w:rsidR="00F1180F" w:rsidRPr="00F1180F" w:rsidRDefault="00F1180F" w:rsidP="00F1180F">
      <w:pPr>
        <w:spacing w:before="100" w:beforeAutospacing="1" w:after="100" w:afterAutospacing="1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18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Summary</w:t>
      </w:r>
    </w:p>
    <w:p w:rsidR="00F1180F" w:rsidRPr="00F1180F" w:rsidRDefault="00F1180F" w:rsidP="00F1180F">
      <w:pPr>
        <w:spacing w:before="100" w:beforeAutospacing="1" w:after="100" w:afterAutospacing="1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18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Drills (1, 2, 3, 5, 7, 8)</w:t>
      </w:r>
    </w:p>
    <w:p w:rsidR="00F1180F" w:rsidRPr="00F1180F" w:rsidRDefault="00F1180F" w:rsidP="00CD7D23">
      <w:pPr>
        <w:spacing w:before="100" w:beforeAutospacing="1" w:after="100" w:afterAutospacing="1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18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Case study (with drills 2, 3, 4, 5)</w:t>
      </w:r>
    </w:p>
    <w:p w:rsidR="00F1180F" w:rsidRPr="00CA3B58" w:rsidRDefault="00094B2C" w:rsidP="00CA3B58">
      <w:pPr>
        <w:spacing w:after="95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B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CA3B58" w:rsidRPr="00CA3B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eizure D</w:t>
      </w:r>
      <w:r w:rsidR="00F1180F" w:rsidRPr="00F118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isorders</w:t>
      </w:r>
    </w:p>
    <w:p w:rsidR="00094B2C" w:rsidRDefault="00094B2C" w:rsidP="00F1180F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094B2C"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Anti-epileptic drugs (AEDs)</w:t>
      </w:r>
    </w:p>
    <w:p w:rsidR="00CA3B58" w:rsidRP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</w:pPr>
      <w:proofErr w:type="spellStart"/>
      <w:r w:rsidRPr="00CA3B58"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  <w:t>Hydantoin</w:t>
      </w:r>
      <w:proofErr w:type="spellEnd"/>
    </w:p>
    <w:p w:rsid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Helps control Tonic-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clonic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seizures and partial seizures.</w:t>
      </w:r>
    </w:p>
    <w:p w:rsidR="00CA3B58" w:rsidRPr="004A5DA5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</w:pPr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  </w:t>
      </w:r>
      <w:proofErr w:type="spellStart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Phenytoin</w:t>
      </w:r>
      <w:proofErr w:type="spellEnd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 (</w:t>
      </w:r>
      <w:proofErr w:type="spellStart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Dilantin</w:t>
      </w:r>
      <w:proofErr w:type="spellEnd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)</w:t>
      </w:r>
    </w:p>
    <w:p w:rsidR="00CA3B58" w:rsidRPr="004A5DA5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</w:pPr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  </w:t>
      </w:r>
      <w:proofErr w:type="spellStart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Ethotoin</w:t>
      </w:r>
      <w:proofErr w:type="spellEnd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 (</w:t>
      </w:r>
      <w:proofErr w:type="spellStart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Peganone</w:t>
      </w:r>
      <w:proofErr w:type="spellEnd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); </w:t>
      </w:r>
      <w:proofErr w:type="spellStart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fosphenytoin</w:t>
      </w:r>
      <w:proofErr w:type="spellEnd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 (</w:t>
      </w:r>
      <w:proofErr w:type="spellStart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Cerebyx</w:t>
      </w:r>
      <w:proofErr w:type="spellEnd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)</w:t>
      </w:r>
    </w:p>
    <w:p w:rsid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Inhibit influx of sodium through sodium channels</w:t>
      </w:r>
    </w:p>
    <w:p w:rsid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Decrease discharge of neurons around areas of increased activity</w:t>
      </w:r>
    </w:p>
    <w:p w:rsid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S/E: </w:t>
      </w:r>
    </w:p>
    <w:p w:rsidR="00CA3B58" w:rsidRDefault="00CA3B58" w:rsidP="00CA3B58">
      <w:pPr>
        <w:pStyle w:val="ListParagraph"/>
        <w:numPr>
          <w:ilvl w:val="0"/>
          <w:numId w:val="3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Mild drowsiness, other CNS effects</w:t>
      </w:r>
    </w:p>
    <w:p w:rsidR="00CA3B58" w:rsidRDefault="00CA3B58" w:rsidP="00CA3B58">
      <w:pPr>
        <w:pStyle w:val="ListParagraph"/>
        <w:numPr>
          <w:ilvl w:val="0"/>
          <w:numId w:val="3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Gingival hyperplasia (common in children and adolescents)</w:t>
      </w:r>
    </w:p>
    <w:p w:rsidR="00CA3B58" w:rsidRDefault="00CA3B58" w:rsidP="00CA3B58">
      <w:pPr>
        <w:pStyle w:val="ListParagraph"/>
        <w:numPr>
          <w:ilvl w:val="0"/>
          <w:numId w:val="3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Skin rash (could be an indication of serious side effect)</w:t>
      </w:r>
    </w:p>
    <w:p w:rsidR="00CA3B58" w:rsidRDefault="00CA3B58" w:rsidP="00CA3B58">
      <w:pPr>
        <w:pStyle w:val="ListParagraph"/>
        <w:numPr>
          <w:ilvl w:val="0"/>
          <w:numId w:val="3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Withdrawal symptoms</w:t>
      </w:r>
    </w:p>
    <w:p w:rsid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Interventions:</w:t>
      </w:r>
    </w:p>
    <w:p w:rsidR="00CA3B58" w:rsidRDefault="00CA3B58" w:rsidP="00CA3B58">
      <w:pPr>
        <w:pStyle w:val="ListParagraph"/>
        <w:numPr>
          <w:ilvl w:val="0"/>
          <w:numId w:val="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Excessive drowsiness, other CNS effects</w:t>
      </w:r>
    </w:p>
    <w:p w:rsidR="00CA3B58" w:rsidRDefault="00CA3B58" w:rsidP="00CA3B58">
      <w:pPr>
        <w:pStyle w:val="ListParagraph"/>
        <w:numPr>
          <w:ilvl w:val="0"/>
          <w:numId w:val="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Observe gingival of children, adolescents (hyperplasia, overgrowth)</w:t>
      </w:r>
    </w:p>
    <w:p w:rsidR="00CA3B58" w:rsidRDefault="00CA3B58" w:rsidP="00CA3B58">
      <w:pPr>
        <w:pStyle w:val="ListParagraph"/>
        <w:numPr>
          <w:ilvl w:val="0"/>
          <w:numId w:val="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Monitor for rash</w:t>
      </w:r>
    </w:p>
    <w:p w:rsid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Administration:</w:t>
      </w:r>
    </w:p>
    <w:p w:rsidR="00CA3B58" w:rsidRDefault="00F25FDB" w:rsidP="00F25FDB">
      <w:pPr>
        <w:pStyle w:val="ListParagraph"/>
        <w:numPr>
          <w:ilvl w:val="0"/>
          <w:numId w:val="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Give with meals</w:t>
      </w:r>
    </w:p>
    <w:p w:rsidR="00F25FDB" w:rsidRDefault="00F25FDB" w:rsidP="00F25FDB">
      <w:pPr>
        <w:pStyle w:val="ListParagraph"/>
        <w:numPr>
          <w:ilvl w:val="0"/>
          <w:numId w:val="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Inject IV form slowly (no more than 50 mg/min)</w:t>
      </w:r>
    </w:p>
    <w:p w:rsidR="00F25FDB" w:rsidRDefault="00F25FDB" w:rsidP="00F25FDB">
      <w:pPr>
        <w:pStyle w:val="ListParagraph"/>
        <w:numPr>
          <w:ilvl w:val="0"/>
          <w:numId w:val="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Monitor vital sings</w:t>
      </w:r>
    </w:p>
    <w:p w:rsidR="00F25FDB" w:rsidRDefault="00F25FDB" w:rsidP="00F25FDB">
      <w:pPr>
        <w:pStyle w:val="ListParagraph"/>
        <w:numPr>
          <w:ilvl w:val="0"/>
          <w:numId w:val="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Monitor plasma levels (10 to 20 mcg/ml)</w:t>
      </w:r>
    </w:p>
    <w:p w:rsidR="00F25FDB" w:rsidRDefault="00F25FDB" w:rsidP="00F25FDB">
      <w:pPr>
        <w:pStyle w:val="ListParagraph"/>
        <w:numPr>
          <w:ilvl w:val="0"/>
          <w:numId w:val="8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Nystagmus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, ataxia, sedation, blurred/double vision (if not within the level)</w:t>
      </w:r>
    </w:p>
    <w:p w:rsidR="00F25FDB" w:rsidRDefault="00F25FDB" w:rsidP="00F25FDB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Patient instruction:</w:t>
      </w:r>
    </w:p>
    <w:p w:rsidR="00F25FDB" w:rsidRDefault="00F25FDB" w:rsidP="00F25FDB">
      <w:pPr>
        <w:pStyle w:val="ListParagraph"/>
        <w:numPr>
          <w:ilvl w:val="0"/>
          <w:numId w:val="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Do not drive or perform other hazardous activities if experiencing CNS depressant effects</w:t>
      </w:r>
    </w:p>
    <w:p w:rsidR="00F25FDB" w:rsidRDefault="00F25FDB" w:rsidP="00F25FDB">
      <w:pPr>
        <w:pStyle w:val="ListParagraph"/>
        <w:numPr>
          <w:ilvl w:val="0"/>
          <w:numId w:val="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Notify the provider if CNS effects occur</w:t>
      </w:r>
    </w:p>
    <w:p w:rsidR="00F25FDB" w:rsidRDefault="00F25FDB" w:rsidP="00F25FDB">
      <w:pPr>
        <w:pStyle w:val="ListParagraph"/>
        <w:numPr>
          <w:ilvl w:val="0"/>
          <w:numId w:val="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Obtain regular dental checkups</w:t>
      </w:r>
    </w:p>
    <w:p w:rsidR="00F25FDB" w:rsidRDefault="00F25FDB" w:rsidP="00F25FDB">
      <w:pPr>
        <w:pStyle w:val="ListParagraph"/>
        <w:numPr>
          <w:ilvl w:val="0"/>
          <w:numId w:val="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Brush teeth with a soft-bristled toothbrush, massages gums, and floss</w:t>
      </w:r>
    </w:p>
    <w:p w:rsidR="00F25FDB" w:rsidRDefault="00F25FDB" w:rsidP="00F25FDB">
      <w:pPr>
        <w:pStyle w:val="ListParagraph"/>
        <w:numPr>
          <w:ilvl w:val="0"/>
          <w:numId w:val="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Report rash</w:t>
      </w:r>
    </w:p>
    <w:p w:rsidR="00F25FDB" w:rsidRDefault="00F25FDB" w:rsidP="00F25FDB">
      <w:pPr>
        <w:pStyle w:val="ListParagraph"/>
        <w:numPr>
          <w:ilvl w:val="0"/>
          <w:numId w:val="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Do not stop taking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phenytoin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abruptly</w:t>
      </w:r>
    </w:p>
    <w:p w:rsidR="00F25FDB" w:rsidRDefault="00F25FDB" w:rsidP="00F25FDB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Contraindications:</w:t>
      </w:r>
    </w:p>
    <w:p w:rsidR="00F25FDB" w:rsidRDefault="00CD7D23" w:rsidP="00F25FDB">
      <w:pPr>
        <w:pStyle w:val="ListParagraph"/>
        <w:numPr>
          <w:ilvl w:val="0"/>
          <w:numId w:val="1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Pregnancy risk category D</w:t>
      </w:r>
    </w:p>
    <w:p w:rsidR="00CD7D23" w:rsidRDefault="00CD7D23" w:rsidP="00F25FDB">
      <w:pPr>
        <w:pStyle w:val="ListParagraph"/>
        <w:numPr>
          <w:ilvl w:val="0"/>
          <w:numId w:val="1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Skin rash</w:t>
      </w:r>
    </w:p>
    <w:p w:rsidR="00CD7D23" w:rsidRDefault="00CD7D23" w:rsidP="00F25FDB">
      <w:pPr>
        <w:pStyle w:val="ListParagraph"/>
        <w:numPr>
          <w:ilvl w:val="0"/>
          <w:numId w:val="1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Bradycardia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or heart block</w:t>
      </w:r>
    </w:p>
    <w:p w:rsidR="00CD7D23" w:rsidRDefault="00CD7D23" w:rsidP="00F25FDB">
      <w:pPr>
        <w:pStyle w:val="ListParagraph"/>
        <w:numPr>
          <w:ilvl w:val="0"/>
          <w:numId w:val="1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Previous allergy to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hydantoins</w:t>
      </w:r>
      <w:proofErr w:type="spellEnd"/>
    </w:p>
    <w:p w:rsidR="00CD7D23" w:rsidRDefault="00CD7D23" w:rsidP="00F25FDB">
      <w:pPr>
        <w:pStyle w:val="ListParagraph"/>
        <w:numPr>
          <w:ilvl w:val="0"/>
          <w:numId w:val="1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lastRenderedPageBreak/>
        <w:t>Seizures caused by low blood sugar</w:t>
      </w:r>
    </w:p>
    <w:p w:rsidR="00CD7D23" w:rsidRDefault="00CD7D23" w:rsidP="00CD7D23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Precautions: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Liver or kidney disease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Cardiac dysfunction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Diabetes mellitus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Older adults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Debilitated patients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Alcoholism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Respiratory dysfunction</w:t>
      </w:r>
    </w:p>
    <w:p w:rsidR="00CD7D23" w:rsidRDefault="00CD7D23" w:rsidP="00CD7D23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Interactions:</w:t>
      </w:r>
    </w:p>
    <w:p w:rsidR="00CD7D23" w:rsidRDefault="00CD7D23" w:rsidP="00CD7D23">
      <w:pPr>
        <w:pStyle w:val="ListParagraph"/>
        <w:numPr>
          <w:ilvl w:val="0"/>
          <w:numId w:val="1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Iv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phenytoin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is incompatible in solution with many other drugs and with dextrose solutions</w:t>
      </w:r>
    </w:p>
    <w:p w:rsidR="00CD7D23" w:rsidRDefault="00CD7D23" w:rsidP="00CD7D23">
      <w:pPr>
        <w:pStyle w:val="ListParagraph"/>
        <w:numPr>
          <w:ilvl w:val="0"/>
          <w:numId w:val="1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Diazepam,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isoniazid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cimetidine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, and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valproic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acid increase levels of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pheytoin</w:t>
      </w:r>
      <w:proofErr w:type="spellEnd"/>
    </w:p>
    <w:p w:rsidR="00CD7D23" w:rsidRDefault="00CD7D23" w:rsidP="00CD7D23">
      <w:pPr>
        <w:pStyle w:val="ListParagraph"/>
        <w:numPr>
          <w:ilvl w:val="0"/>
          <w:numId w:val="1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Alcohol use may either increase or decrease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phenytoin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levels</w:t>
      </w:r>
    </w:p>
    <w:p w:rsidR="00CD7D23" w:rsidRDefault="00CD7D23" w:rsidP="00CD7D23">
      <w:pPr>
        <w:pStyle w:val="ListParagraph"/>
        <w:numPr>
          <w:ilvl w:val="0"/>
          <w:numId w:val="1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CNS depressants increase sedative effects</w:t>
      </w:r>
    </w:p>
    <w:p w:rsidR="00CD7D23" w:rsidRDefault="00CD7D23" w:rsidP="00CD7D23">
      <w:pPr>
        <w:pStyle w:val="ListParagraph"/>
        <w:numPr>
          <w:ilvl w:val="0"/>
          <w:numId w:val="1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Phenobarbital and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carbamazepine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can decrease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phenytoin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levels</w:t>
      </w:r>
    </w:p>
    <w:p w:rsidR="00CD7D23" w:rsidRDefault="00CD7D23" w:rsidP="00CD7D23">
      <w:pPr>
        <w:pStyle w:val="ListParagraph"/>
        <w:numPr>
          <w:ilvl w:val="0"/>
          <w:numId w:val="1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Phenytoin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reduces the effectiveness of oral contraceptives</w:t>
      </w:r>
    </w:p>
    <w:p w:rsidR="007D0077" w:rsidRDefault="007D0077" w:rsidP="007D007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</w:pPr>
      <w:proofErr w:type="spellStart"/>
      <w:r w:rsidRPr="007D0077"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  <w:t>Iminostibenes</w:t>
      </w:r>
      <w:proofErr w:type="spellEnd"/>
    </w:p>
    <w:p w:rsidR="007D0077" w:rsidRDefault="007D0077" w:rsidP="007D0077">
      <w:pPr>
        <w:pStyle w:val="ListParagraph"/>
        <w:numPr>
          <w:ilvl w:val="0"/>
          <w:numId w:val="2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7D0077"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Partial se</w:t>
      </w: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izures</w:t>
      </w:r>
    </w:p>
    <w:p w:rsidR="007D0077" w:rsidRDefault="007D0077" w:rsidP="007D0077">
      <w:pPr>
        <w:pStyle w:val="ListParagraph"/>
        <w:numPr>
          <w:ilvl w:val="0"/>
          <w:numId w:val="2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Tonic-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clonic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seizures</w:t>
      </w:r>
    </w:p>
    <w:p w:rsidR="007D0077" w:rsidRDefault="007D0077" w:rsidP="007D0077">
      <w:pPr>
        <w:pStyle w:val="ListParagraph"/>
        <w:numPr>
          <w:ilvl w:val="0"/>
          <w:numId w:val="2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Bipolar disorder</w:t>
      </w:r>
    </w:p>
    <w:p w:rsidR="007D0077" w:rsidRDefault="007D0077" w:rsidP="007D0077">
      <w:pPr>
        <w:pStyle w:val="ListParagraph"/>
        <w:numPr>
          <w:ilvl w:val="0"/>
          <w:numId w:val="2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Trigeminal neuralgia</w:t>
      </w:r>
    </w:p>
    <w:p w:rsidR="007D0077" w:rsidRDefault="007D0077" w:rsidP="007D0077">
      <w:pPr>
        <w:spacing w:after="95" w:line="259" w:lineRule="atLeast"/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</w:pPr>
      <w:proofErr w:type="spellStart"/>
      <w:r w:rsidRPr="007D0077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Carbamazepine</w:t>
      </w:r>
      <w:proofErr w:type="spellEnd"/>
      <w:r w:rsidRPr="007D0077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 (</w:t>
      </w:r>
      <w:proofErr w:type="spellStart"/>
      <w:r w:rsidRPr="007D0077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Tegretol</w:t>
      </w:r>
      <w:proofErr w:type="spellEnd"/>
      <w:r w:rsidRPr="007D0077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)</w:t>
      </w:r>
    </w:p>
    <w:p w:rsidR="007D0077" w:rsidRDefault="007D0077" w:rsidP="007D007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7D0077"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</w:t>
      </w: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hibit the influx of sodium through sodium channels</w:t>
      </w:r>
    </w:p>
    <w:p w:rsidR="007D0077" w:rsidRDefault="007D0077" w:rsidP="007D007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Decrease the discharge of neurons around areas of increased activity</w:t>
      </w:r>
    </w:p>
    <w:p w:rsidR="007D0077" w:rsidRDefault="007D0077" w:rsidP="007D007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S/E:</w:t>
      </w:r>
    </w:p>
    <w:p w:rsidR="007D0077" w:rsidRDefault="007D0077" w:rsidP="007D0077">
      <w:pPr>
        <w:pStyle w:val="ListParagraph"/>
        <w:numPr>
          <w:ilvl w:val="0"/>
          <w:numId w:val="25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Visual disturbances (headache, ataxia,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nystagmus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, blurred vision)</w:t>
      </w:r>
    </w:p>
    <w:p w:rsidR="007D0077" w:rsidRDefault="007D0077" w:rsidP="007D0077">
      <w:pPr>
        <w:pStyle w:val="ListParagraph"/>
        <w:numPr>
          <w:ilvl w:val="0"/>
          <w:numId w:val="25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Decreased excretion of water (fluid retention)</w:t>
      </w:r>
    </w:p>
    <w:p w:rsidR="007D0077" w:rsidRDefault="007D0077" w:rsidP="007D0077">
      <w:pPr>
        <w:pStyle w:val="ListParagraph"/>
        <w:numPr>
          <w:ilvl w:val="0"/>
          <w:numId w:val="25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Skin rash (which may be serious)</w:t>
      </w:r>
    </w:p>
    <w:p w:rsidR="007D0077" w:rsidRDefault="007D0077" w:rsidP="007D0077">
      <w:pPr>
        <w:pStyle w:val="ListParagraph"/>
        <w:numPr>
          <w:ilvl w:val="0"/>
          <w:numId w:val="8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Epidermal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necrolysis</w:t>
      </w:r>
      <w:proofErr w:type="spellEnd"/>
    </w:p>
    <w:p w:rsidR="007D0077" w:rsidRDefault="007D0077" w:rsidP="007D0077">
      <w:pPr>
        <w:pStyle w:val="ListParagraph"/>
        <w:numPr>
          <w:ilvl w:val="0"/>
          <w:numId w:val="8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Stevens-Johnson syndrome</w:t>
      </w:r>
    </w:p>
    <w:p w:rsidR="007D0077" w:rsidRDefault="007D0077" w:rsidP="007D0077">
      <w:pPr>
        <w:pStyle w:val="ListParagraph"/>
        <w:numPr>
          <w:ilvl w:val="0"/>
          <w:numId w:val="2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Bone marrow suppression</w:t>
      </w:r>
    </w:p>
    <w:p w:rsidR="007D0077" w:rsidRDefault="007D0077" w:rsidP="007D007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Interventions:</w:t>
      </w:r>
    </w:p>
    <w:p w:rsidR="007D0077" w:rsidRDefault="007D0077" w:rsidP="007D0077">
      <w:pPr>
        <w:pStyle w:val="ListParagraph"/>
        <w:numPr>
          <w:ilvl w:val="0"/>
          <w:numId w:val="2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Begin with low dose of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carbamazepine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and increase gradually to prevent CNS effects</w:t>
      </w:r>
    </w:p>
    <w:p w:rsidR="007D0077" w:rsidRDefault="007D0077" w:rsidP="007D0077">
      <w:pPr>
        <w:pStyle w:val="ListParagraph"/>
        <w:numPr>
          <w:ilvl w:val="0"/>
          <w:numId w:val="2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Give as much of daily dose at bedtime as possible to minimize side effects during the day</w:t>
      </w:r>
    </w:p>
    <w:p w:rsidR="007D0077" w:rsidRDefault="007D0077" w:rsidP="007D0077">
      <w:pPr>
        <w:pStyle w:val="ListParagraph"/>
        <w:numPr>
          <w:ilvl w:val="0"/>
          <w:numId w:val="2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Monitor WBC, CBC throughout therapy; withhold the drug for low levels</w:t>
      </w:r>
    </w:p>
    <w:p w:rsidR="007D0077" w:rsidRDefault="007D0077" w:rsidP="007D0077">
      <w:pPr>
        <w:pStyle w:val="ListParagraph"/>
        <w:numPr>
          <w:ilvl w:val="0"/>
          <w:numId w:val="2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Monitor for skin rash</w:t>
      </w:r>
    </w:p>
    <w:p w:rsidR="007D0077" w:rsidRDefault="007D0077" w:rsidP="007D0077">
      <w:pPr>
        <w:pStyle w:val="ListParagraph"/>
        <w:numPr>
          <w:ilvl w:val="0"/>
          <w:numId w:val="2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Check that patients of Asian descent are tested for the HLA-B*1502 gene, which can increase risk of severe skin reactions with 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carbamazepine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use</w:t>
      </w:r>
    </w:p>
    <w:p w:rsidR="007D0077" w:rsidRDefault="007D0077" w:rsidP="007D007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Administration:</w:t>
      </w:r>
    </w:p>
    <w:p w:rsidR="007D0077" w:rsidRDefault="007D0077" w:rsidP="007D0077">
      <w:pPr>
        <w:pStyle w:val="ListParagraph"/>
        <w:numPr>
          <w:ilvl w:val="0"/>
          <w:numId w:val="2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Administer with meals to reduce GI symptoms</w:t>
      </w:r>
    </w:p>
    <w:p w:rsidR="007D0077" w:rsidRDefault="007D0077" w:rsidP="007D0077">
      <w:pPr>
        <w:pStyle w:val="ListParagraph"/>
        <w:numPr>
          <w:ilvl w:val="0"/>
          <w:numId w:val="2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Make sure patients swallow the sustained-release form whole and chew or crush the chewable tablets and take them with liquid</w:t>
      </w:r>
    </w:p>
    <w:p w:rsidR="007D0077" w:rsidRDefault="007D0077" w:rsidP="007D0077">
      <w:pPr>
        <w:pStyle w:val="ListParagraph"/>
        <w:numPr>
          <w:ilvl w:val="0"/>
          <w:numId w:val="2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Do not mix the oral suspension with other oral drug suspensions</w:t>
      </w:r>
    </w:p>
    <w:p w:rsidR="007D0077" w:rsidRDefault="007D0077" w:rsidP="007D0077">
      <w:pPr>
        <w:pStyle w:val="ListParagraph"/>
        <w:numPr>
          <w:ilvl w:val="0"/>
          <w:numId w:val="2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Maintain steady therapeutic levels</w:t>
      </w:r>
    </w:p>
    <w:p w:rsidR="007D0077" w:rsidRDefault="007D0077" w:rsidP="007D007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lastRenderedPageBreak/>
        <w:t>Patient instructions:</w:t>
      </w:r>
    </w:p>
    <w:p w:rsidR="007D0077" w:rsidRDefault="003D4DB7" w:rsidP="007D0077">
      <w:pPr>
        <w:pStyle w:val="ListParagraph"/>
        <w:numPr>
          <w:ilvl w:val="0"/>
          <w:numId w:val="3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CNS effects </w:t>
      </w:r>
    </w:p>
    <w:p w:rsidR="003D4DB7" w:rsidRDefault="003D4DB7" w:rsidP="007D0077">
      <w:pPr>
        <w:pStyle w:val="ListParagraph"/>
        <w:numPr>
          <w:ilvl w:val="0"/>
          <w:numId w:val="3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No driving</w:t>
      </w:r>
    </w:p>
    <w:p w:rsidR="003D4DB7" w:rsidRDefault="003D4DB7" w:rsidP="007D0077">
      <w:pPr>
        <w:pStyle w:val="ListParagraph"/>
        <w:numPr>
          <w:ilvl w:val="0"/>
          <w:numId w:val="3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Precautions to prevent falls</w:t>
      </w:r>
    </w:p>
    <w:p w:rsidR="003D4DB7" w:rsidRDefault="003D4DB7" w:rsidP="007D0077">
      <w:pPr>
        <w:pStyle w:val="ListParagraph"/>
        <w:numPr>
          <w:ilvl w:val="0"/>
          <w:numId w:val="3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Report rash and decreased urine output, edema, sob</w:t>
      </w:r>
    </w:p>
    <w:p w:rsidR="003D4DB7" w:rsidRDefault="003D4DB7" w:rsidP="007D0077">
      <w:pPr>
        <w:pStyle w:val="ListParagraph"/>
        <w:numPr>
          <w:ilvl w:val="0"/>
          <w:numId w:val="3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Use sunscreen, limit sun exposure</w:t>
      </w:r>
    </w:p>
    <w:p w:rsidR="003D4DB7" w:rsidRDefault="003D4DB7" w:rsidP="007D0077">
      <w:pPr>
        <w:pStyle w:val="ListParagraph"/>
        <w:numPr>
          <w:ilvl w:val="0"/>
          <w:numId w:val="3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Bone marrow suppression</w:t>
      </w:r>
    </w:p>
    <w:p w:rsidR="003D4DB7" w:rsidRDefault="003D4DB7" w:rsidP="003D4DB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Contraindications:</w:t>
      </w:r>
    </w:p>
    <w:p w:rsidR="003D4DB7" w:rsidRDefault="003D4DB7" w:rsidP="003D4DB7">
      <w:pPr>
        <w:pStyle w:val="ListParagraph"/>
        <w:numPr>
          <w:ilvl w:val="0"/>
          <w:numId w:val="3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Pregnancy risk category D</w:t>
      </w:r>
    </w:p>
    <w:p w:rsidR="003D4DB7" w:rsidRDefault="003D4DB7" w:rsidP="003D4DB7">
      <w:pPr>
        <w:pStyle w:val="ListParagraph"/>
        <w:numPr>
          <w:ilvl w:val="0"/>
          <w:numId w:val="3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Absence and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myoclonic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serizures</w:t>
      </w:r>
      <w:proofErr w:type="spellEnd"/>
    </w:p>
    <w:p w:rsidR="003D4DB7" w:rsidRDefault="003D4DB7" w:rsidP="003D4DB7">
      <w:pPr>
        <w:pStyle w:val="ListParagraph"/>
        <w:numPr>
          <w:ilvl w:val="0"/>
          <w:numId w:val="3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Hematologic disorders</w:t>
      </w:r>
    </w:p>
    <w:p w:rsidR="003D4DB7" w:rsidRDefault="003D4DB7" w:rsidP="003D4DB7">
      <w:pPr>
        <w:pStyle w:val="ListParagraph"/>
        <w:numPr>
          <w:ilvl w:val="0"/>
          <w:numId w:val="3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Heart failure</w:t>
      </w:r>
    </w:p>
    <w:p w:rsidR="003D4DB7" w:rsidRDefault="003D4DB7" w:rsidP="003D4DB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Precautions:</w:t>
      </w:r>
    </w:p>
    <w:p w:rsidR="003D4DB7" w:rsidRDefault="003D4DB7" w:rsidP="003D4DB7">
      <w:pPr>
        <w:pStyle w:val="ListParagraph"/>
        <w:numPr>
          <w:ilvl w:val="0"/>
          <w:numId w:val="3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Cardiac or hepatic disease</w:t>
      </w:r>
    </w:p>
    <w:p w:rsidR="003D4DB7" w:rsidRDefault="003D4DB7" w:rsidP="003D4DB7">
      <w:pPr>
        <w:pStyle w:val="ListParagraph"/>
        <w:numPr>
          <w:ilvl w:val="0"/>
          <w:numId w:val="3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HLA-B*1502 gene</w:t>
      </w:r>
    </w:p>
    <w:p w:rsidR="003D4DB7" w:rsidRDefault="003D4DB7" w:rsidP="003D4DB7">
      <w:pPr>
        <w:pStyle w:val="ListParagraph"/>
        <w:numPr>
          <w:ilvl w:val="0"/>
          <w:numId w:val="3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Alcoholism</w:t>
      </w:r>
    </w:p>
    <w:p w:rsidR="003D4DB7" w:rsidRDefault="003D4DB7" w:rsidP="003D4DB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Interactions:</w:t>
      </w:r>
    </w:p>
    <w:p w:rsidR="003D4DB7" w:rsidRDefault="003D4DB7" w:rsidP="003D4DB7">
      <w:pPr>
        <w:pStyle w:val="ListParagraph"/>
        <w:numPr>
          <w:ilvl w:val="0"/>
          <w:numId w:val="34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Drinking grapefruit juice may increase plasma levels</w:t>
      </w:r>
    </w:p>
    <w:p w:rsidR="003D4DB7" w:rsidRDefault="003D4DB7" w:rsidP="003D4DB7">
      <w:pPr>
        <w:pStyle w:val="ListParagraph"/>
        <w:numPr>
          <w:ilvl w:val="0"/>
          <w:numId w:val="34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Carbamazepine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use may cause a false negative pregnancy test and may decrease the effectiveness of oral contraceptives</w:t>
      </w:r>
    </w:p>
    <w:p w:rsidR="003D4DB7" w:rsidRDefault="003D4DB7" w:rsidP="003D4DB7">
      <w:pPr>
        <w:pStyle w:val="ListParagraph"/>
        <w:numPr>
          <w:ilvl w:val="0"/>
          <w:numId w:val="34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Antifungals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, erythromycin,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isoniazid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, some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antietrovirals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valproic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acid,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verapamil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, niacin, and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loratadine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may cause increased plasma levels</w:t>
      </w:r>
    </w:p>
    <w:p w:rsidR="003D4DB7" w:rsidRDefault="003D4DB7" w:rsidP="003D4DB7">
      <w:pPr>
        <w:pStyle w:val="ListParagraph"/>
        <w:numPr>
          <w:ilvl w:val="0"/>
          <w:numId w:val="34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Phenytoin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, barbiturates,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rifampin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cisplatin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, and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theophylline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decrease plasma levels</w:t>
      </w:r>
    </w:p>
    <w:p w:rsidR="003D4DB7" w:rsidRPr="003D4DB7" w:rsidRDefault="003D4DB7" w:rsidP="003D4DB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</w:pPr>
      <w:proofErr w:type="spellStart"/>
      <w:r w:rsidRPr="003D4DB7"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  <w:t>Valproic</w:t>
      </w:r>
      <w:proofErr w:type="spellEnd"/>
      <w:r w:rsidRPr="003D4DB7"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  <w:t xml:space="preserve"> Acid</w:t>
      </w:r>
      <w:r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  <w:t xml:space="preserve"> (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  <w:t>Depakote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  <w:t>Depacon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  <w:t>Depakene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  <w:t>)</w:t>
      </w:r>
    </w:p>
    <w:p w:rsidR="003D4DB7" w:rsidRDefault="003D4DB7" w:rsidP="003D4DB7">
      <w:pPr>
        <w:pStyle w:val="ListParagraph"/>
        <w:numPr>
          <w:ilvl w:val="0"/>
          <w:numId w:val="35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All seizure types</w:t>
      </w:r>
    </w:p>
    <w:p w:rsidR="003D4DB7" w:rsidRDefault="003D4DB7" w:rsidP="003D4DB7">
      <w:pPr>
        <w:pStyle w:val="ListParagraph"/>
        <w:numPr>
          <w:ilvl w:val="0"/>
          <w:numId w:val="35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Mania associated with bipolar disorder</w:t>
      </w:r>
    </w:p>
    <w:p w:rsidR="003D4DB7" w:rsidRDefault="003D4DB7" w:rsidP="003D4DB7">
      <w:pPr>
        <w:pStyle w:val="ListParagraph"/>
        <w:numPr>
          <w:ilvl w:val="0"/>
          <w:numId w:val="35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Migraine headache (prevention)</w:t>
      </w:r>
    </w:p>
    <w:p w:rsidR="003D4DB7" w:rsidRDefault="003D4DB7" w:rsidP="003D4DB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Actions:</w:t>
      </w:r>
    </w:p>
    <w:p w:rsidR="003D4DB7" w:rsidRDefault="003D4DB7" w:rsidP="003D4DB7">
      <w:pPr>
        <w:pStyle w:val="ListParagraph"/>
        <w:numPr>
          <w:ilvl w:val="0"/>
          <w:numId w:val="3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Inhibits the influx of sodium through sodium channels</w:t>
      </w:r>
    </w:p>
    <w:p w:rsidR="003D4DB7" w:rsidRDefault="003D4DB7" w:rsidP="003D4DB7">
      <w:pPr>
        <w:pStyle w:val="ListParagraph"/>
        <w:numPr>
          <w:ilvl w:val="0"/>
          <w:numId w:val="3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Decreases the discharge of neurons around areas of increased activity</w:t>
      </w:r>
    </w:p>
    <w:p w:rsidR="003D4DB7" w:rsidRDefault="003D4DB7" w:rsidP="003D4DB7">
      <w:pPr>
        <w:pStyle w:val="ListParagraph"/>
        <w:numPr>
          <w:ilvl w:val="0"/>
          <w:numId w:val="3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Inhibits the influx of calcium through calcium channels</w:t>
      </w:r>
    </w:p>
    <w:p w:rsidR="003D4DB7" w:rsidRDefault="003D4DB7" w:rsidP="003D4DB7">
      <w:pPr>
        <w:pStyle w:val="ListParagraph"/>
        <w:numPr>
          <w:ilvl w:val="0"/>
          <w:numId w:val="3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Enhances the inhibitory effects of GABA</w:t>
      </w:r>
    </w:p>
    <w:p w:rsidR="003D4DB7" w:rsidRDefault="003D4DB7" w:rsidP="003D4DB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S/E:</w:t>
      </w:r>
    </w:p>
    <w:p w:rsidR="003D4DB7" w:rsidRDefault="003D4DB7" w:rsidP="003D4DB7">
      <w:pPr>
        <w:pStyle w:val="ListParagraph"/>
        <w:numPr>
          <w:ilvl w:val="0"/>
          <w:numId w:val="3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GI upset</w:t>
      </w:r>
    </w:p>
    <w:p w:rsidR="003D4DB7" w:rsidRDefault="003D4DB7" w:rsidP="003D4DB7">
      <w:pPr>
        <w:pStyle w:val="ListParagraph"/>
        <w:numPr>
          <w:ilvl w:val="0"/>
          <w:numId w:val="3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Bruising, bleeding, prolonged bleeding time, decreased platelets</w:t>
      </w:r>
    </w:p>
    <w:p w:rsidR="003D4DB7" w:rsidRDefault="003D4DB7" w:rsidP="003D4DB7">
      <w:pPr>
        <w:pStyle w:val="ListParagraph"/>
        <w:numPr>
          <w:ilvl w:val="0"/>
          <w:numId w:val="3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Skin rash</w:t>
      </w:r>
    </w:p>
    <w:p w:rsidR="003D4DB7" w:rsidRDefault="003D4DB7" w:rsidP="003D4DB7">
      <w:pPr>
        <w:pStyle w:val="ListParagraph"/>
        <w:numPr>
          <w:ilvl w:val="0"/>
          <w:numId w:val="3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Liver toxicity (potentially fatal)</w:t>
      </w:r>
    </w:p>
    <w:p w:rsidR="003D4DB7" w:rsidRDefault="003D4DB7" w:rsidP="003D4DB7">
      <w:pPr>
        <w:pStyle w:val="ListParagraph"/>
        <w:numPr>
          <w:ilvl w:val="0"/>
          <w:numId w:val="3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Hyperammonemia</w:t>
      </w:r>
      <w:proofErr w:type="spellEnd"/>
    </w:p>
    <w:p w:rsidR="003D4DB7" w:rsidRDefault="003D4DB7" w:rsidP="003D4DB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Interventions:</w:t>
      </w:r>
    </w:p>
    <w:p w:rsidR="003D4DB7" w:rsidRDefault="003D4DB7" w:rsidP="003D4DB7">
      <w:pPr>
        <w:pStyle w:val="ListParagraph"/>
        <w:numPr>
          <w:ilvl w:val="0"/>
          <w:numId w:val="2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Monitor bleeding time,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plt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count</w:t>
      </w:r>
    </w:p>
    <w:p w:rsidR="003D4DB7" w:rsidRDefault="003D4DB7" w:rsidP="003D4DB7">
      <w:pPr>
        <w:pStyle w:val="ListParagraph"/>
        <w:numPr>
          <w:ilvl w:val="0"/>
          <w:numId w:val="2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Monitor blood ammonia levels</w:t>
      </w:r>
    </w:p>
    <w:p w:rsidR="003D4DB7" w:rsidRDefault="003D4DB7" w:rsidP="003D4DB7">
      <w:pPr>
        <w:pStyle w:val="ListParagraph"/>
        <w:numPr>
          <w:ilvl w:val="0"/>
          <w:numId w:val="2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Observe for bruising, bleeding</w:t>
      </w:r>
    </w:p>
    <w:p w:rsidR="003D4DB7" w:rsidRDefault="003D4DB7" w:rsidP="003D4DB7">
      <w:pPr>
        <w:pStyle w:val="ListParagraph"/>
        <w:numPr>
          <w:ilvl w:val="0"/>
          <w:numId w:val="2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Watch for vomiting, confusion, decreased level of consciousness</w:t>
      </w:r>
    </w:p>
    <w:p w:rsidR="003D4DB7" w:rsidRDefault="003D4DB7" w:rsidP="003D4DB7">
      <w:pPr>
        <w:pStyle w:val="ListParagraph"/>
        <w:numPr>
          <w:ilvl w:val="0"/>
          <w:numId w:val="2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Monitor serum amylase if symptoms of pancreatitis occur</w:t>
      </w:r>
    </w:p>
    <w:p w:rsidR="003D4DB7" w:rsidRDefault="003D4DB7" w:rsidP="003D4DB7">
      <w:pPr>
        <w:pStyle w:val="ListParagraph"/>
        <w:numPr>
          <w:ilvl w:val="0"/>
          <w:numId w:val="2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lastRenderedPageBreak/>
        <w:t>Monitor liver function tests before treatment and periodically during therapy</w:t>
      </w:r>
    </w:p>
    <w:p w:rsidR="003D4DB7" w:rsidRDefault="003D4DB7" w:rsidP="003D4DB7">
      <w:pPr>
        <w:pStyle w:val="ListParagraph"/>
        <w:numPr>
          <w:ilvl w:val="0"/>
          <w:numId w:val="2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Observe for symptoms of hepatitis</w:t>
      </w:r>
    </w:p>
    <w:p w:rsidR="003D4DB7" w:rsidRDefault="003D4DB7" w:rsidP="003D4DB7">
      <w:pPr>
        <w:pStyle w:val="ListParagraph"/>
        <w:numPr>
          <w:ilvl w:val="0"/>
          <w:numId w:val="2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Assure that patients take the lowest effective dose</w:t>
      </w:r>
    </w:p>
    <w:p w:rsidR="003D4DB7" w:rsidRDefault="003D4DB7" w:rsidP="003D4DB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Administration:</w:t>
      </w:r>
    </w:p>
    <w:p w:rsidR="003D4DB7" w:rsidRDefault="003D4DB7" w:rsidP="003D4DB7">
      <w:pPr>
        <w:pStyle w:val="ListParagraph"/>
        <w:numPr>
          <w:ilvl w:val="0"/>
          <w:numId w:val="38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Give orally or IV</w:t>
      </w:r>
    </w:p>
    <w:p w:rsidR="003D4DB7" w:rsidRDefault="003D4DB7" w:rsidP="003D4DB7">
      <w:pPr>
        <w:pStyle w:val="ListParagraph"/>
        <w:numPr>
          <w:ilvl w:val="0"/>
          <w:numId w:val="38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Give the enteric-coated form and administer with food to prevent GI symptoms</w:t>
      </w:r>
    </w:p>
    <w:p w:rsidR="003D4DB7" w:rsidRDefault="003D4DB7" w:rsidP="003D4DB7">
      <w:pPr>
        <w:pStyle w:val="ListParagraph"/>
        <w:numPr>
          <w:ilvl w:val="0"/>
          <w:numId w:val="38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Dilute the IV form in at least 50 ml of diluents and do not mix with other drugs in solution</w:t>
      </w:r>
    </w:p>
    <w:p w:rsidR="003D4DB7" w:rsidRDefault="003D4DB7" w:rsidP="003D4DB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Patient instructions:</w:t>
      </w:r>
    </w:p>
    <w:p w:rsidR="003D4DB7" w:rsidRDefault="00147734" w:rsidP="003D4DB7">
      <w:pPr>
        <w:pStyle w:val="ListParagraph"/>
        <w:numPr>
          <w:ilvl w:val="0"/>
          <w:numId w:val="3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Report rash, nausea, vomiting,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adb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pain, jaundice, anorexia</w:t>
      </w:r>
    </w:p>
    <w:p w:rsidR="00147734" w:rsidRDefault="00147734" w:rsidP="003D4DB7">
      <w:pPr>
        <w:pStyle w:val="ListParagraph"/>
        <w:numPr>
          <w:ilvl w:val="0"/>
          <w:numId w:val="3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Report bruises, unexpected bleeding</w:t>
      </w:r>
    </w:p>
    <w:p w:rsidR="00147734" w:rsidRDefault="00147734" w:rsidP="003D4DB7">
      <w:pPr>
        <w:pStyle w:val="ListParagraph"/>
        <w:numPr>
          <w:ilvl w:val="0"/>
          <w:numId w:val="3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Report confusion, decreased consciousness</w:t>
      </w:r>
    </w:p>
    <w:p w:rsidR="00147734" w:rsidRDefault="00147734" w:rsidP="003D4DB7">
      <w:pPr>
        <w:pStyle w:val="ListParagraph"/>
        <w:numPr>
          <w:ilvl w:val="0"/>
          <w:numId w:val="3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Women who become pregnant</w:t>
      </w:r>
    </w:p>
    <w:p w:rsidR="00147734" w:rsidRDefault="00147734" w:rsidP="00147734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Contraindications:</w:t>
      </w:r>
    </w:p>
    <w:p w:rsidR="00147734" w:rsidRDefault="00147734" w:rsidP="00147734">
      <w:pPr>
        <w:pStyle w:val="ListParagraph"/>
        <w:numPr>
          <w:ilvl w:val="0"/>
          <w:numId w:val="4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Pregnancy risk category D, lactation</w:t>
      </w:r>
    </w:p>
    <w:p w:rsidR="00147734" w:rsidRDefault="00147734" w:rsidP="00147734">
      <w:pPr>
        <w:pStyle w:val="ListParagraph"/>
        <w:numPr>
          <w:ilvl w:val="0"/>
          <w:numId w:val="4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Liver disorders</w:t>
      </w:r>
    </w:p>
    <w:p w:rsidR="00147734" w:rsidRDefault="00147734" w:rsidP="00147734">
      <w:pPr>
        <w:pStyle w:val="ListParagraph"/>
        <w:numPr>
          <w:ilvl w:val="0"/>
          <w:numId w:val="4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Thrombocytopenia</w:t>
      </w:r>
    </w:p>
    <w:p w:rsidR="00147734" w:rsidRDefault="00147734" w:rsidP="00147734">
      <w:pPr>
        <w:pStyle w:val="ListParagraph"/>
        <w:numPr>
          <w:ilvl w:val="0"/>
          <w:numId w:val="4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Hyperammonemia</w:t>
      </w:r>
      <w:proofErr w:type="spellEnd"/>
    </w:p>
    <w:p w:rsidR="00147734" w:rsidRDefault="00147734" w:rsidP="00147734">
      <w:pPr>
        <w:pStyle w:val="ListParagraph"/>
        <w:numPr>
          <w:ilvl w:val="0"/>
          <w:numId w:val="4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Young children taking other anticonvulsants</w:t>
      </w:r>
    </w:p>
    <w:p w:rsidR="00147734" w:rsidRDefault="00147734" w:rsidP="00147734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Precautions:</w:t>
      </w:r>
    </w:p>
    <w:p w:rsidR="00147734" w:rsidRDefault="00147734" w:rsidP="00147734">
      <w:pPr>
        <w:pStyle w:val="ListParagraph"/>
        <w:numPr>
          <w:ilvl w:val="0"/>
          <w:numId w:val="4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Kidney disease</w:t>
      </w:r>
    </w:p>
    <w:p w:rsidR="00147734" w:rsidRDefault="00147734" w:rsidP="00147734">
      <w:pPr>
        <w:pStyle w:val="ListParagraph"/>
        <w:numPr>
          <w:ilvl w:val="0"/>
          <w:numId w:val="4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Older adults</w:t>
      </w:r>
    </w:p>
    <w:p w:rsidR="00147734" w:rsidRDefault="00147734" w:rsidP="00147734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Interactions:</w:t>
      </w:r>
    </w:p>
    <w:p w:rsidR="00147734" w:rsidRDefault="00147734" w:rsidP="00147734">
      <w:pPr>
        <w:pStyle w:val="ListParagraph"/>
        <w:numPr>
          <w:ilvl w:val="0"/>
          <w:numId w:val="4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Blood levels of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phenytoin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and Phenobarbital increase</w:t>
      </w:r>
    </w:p>
    <w:p w:rsidR="00147734" w:rsidRPr="00147734" w:rsidRDefault="00147734" w:rsidP="00147734">
      <w:pPr>
        <w:pStyle w:val="ListParagraph"/>
        <w:numPr>
          <w:ilvl w:val="0"/>
          <w:numId w:val="4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Topiramate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(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Topamax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) increases the risk for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hyperammonemia</w:t>
      </w:r>
      <w:proofErr w:type="spellEnd"/>
    </w:p>
    <w:p w:rsidR="003D4DB7" w:rsidRPr="003D4DB7" w:rsidRDefault="003D4DB7" w:rsidP="003D4DB7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</w:p>
    <w:p w:rsidR="00CD7D23" w:rsidRPr="00CD7D23" w:rsidRDefault="00CD7D23" w:rsidP="00CD7D23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</w:p>
    <w:p w:rsidR="00984993" w:rsidRDefault="00CD7D23" w:rsidP="00CD7D2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Migraine H</w:t>
      </w:r>
      <w:r w:rsidRPr="00CD7D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eadaches</w:t>
      </w:r>
    </w:p>
    <w:p w:rsidR="00CD7D23" w:rsidRPr="00D647EF" w:rsidRDefault="00CD7D23" w:rsidP="00CD7D2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Preventive treatment: beta blockers, </w:t>
      </w:r>
      <w:proofErr w:type="spellStart"/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tricyclic</w:t>
      </w:r>
      <w:proofErr w:type="spellEnd"/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antidepressants, </w:t>
      </w:r>
      <w:proofErr w:type="spellStart"/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antiepileptics</w:t>
      </w:r>
      <w:proofErr w:type="spellEnd"/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estrogens</w:t>
      </w:r>
    </w:p>
    <w:p w:rsidR="00CD7D23" w:rsidRPr="00D647EF" w:rsidRDefault="00CD7D23" w:rsidP="00CD7D2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Abortive treatment: analgesics</w:t>
      </w:r>
    </w:p>
    <w:p w:rsidR="00CD7D23" w:rsidRDefault="00CD7D23" w:rsidP="00CD7D2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Other treatment: ergot alkaloids, </w:t>
      </w:r>
      <w:r w:rsidRPr="00127DE2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serotonin agonist</w:t>
      </w:r>
    </w:p>
    <w:p w:rsidR="00D647EF" w:rsidRPr="00161EF9" w:rsidRDefault="00161EF9" w:rsidP="00CD7D23">
      <w:pPr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</w:pPr>
      <w:r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 </w:t>
      </w:r>
      <w:proofErr w:type="spellStart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Sumatriptan</w:t>
      </w:r>
      <w:proofErr w:type="spellEnd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(</w:t>
      </w:r>
      <w:proofErr w:type="spellStart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Imitrex</w:t>
      </w:r>
      <w:proofErr w:type="spellEnd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)</w:t>
      </w:r>
    </w:p>
    <w:p w:rsidR="00D647EF" w:rsidRPr="00161EF9" w:rsidRDefault="00161EF9" w:rsidP="00CD7D23">
      <w:pPr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</w:pPr>
      <w:r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 </w:t>
      </w:r>
      <w:proofErr w:type="spellStart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Zolmitriptan</w:t>
      </w:r>
      <w:proofErr w:type="spellEnd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(</w:t>
      </w:r>
      <w:proofErr w:type="spellStart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Zomig</w:t>
      </w:r>
      <w:proofErr w:type="spellEnd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)</w:t>
      </w:r>
    </w:p>
    <w:p w:rsidR="00CD7D23" w:rsidRDefault="00D647EF" w:rsidP="00CD7D2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Activates 5-HT receptors causes vasoconstriction, suppresses release of CGRP, and prevents inflammatory response.</w:t>
      </w:r>
    </w:p>
    <w:p w:rsidR="00D647EF" w:rsidRDefault="00D647EF" w:rsidP="00CD7D2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S/E:</w:t>
      </w:r>
    </w:p>
    <w:p w:rsidR="00D647EF" w:rsidRDefault="00DA3395" w:rsidP="00D647EF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Chest pressure or “heaviness”</w:t>
      </w:r>
    </w:p>
    <w:p w:rsidR="00DA3395" w:rsidRDefault="00DA3395" w:rsidP="00D647EF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Coronary vasospasm</w:t>
      </w:r>
    </w:p>
    <w:p w:rsidR="00DA3395" w:rsidRDefault="00DA3395" w:rsidP="00D647EF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CNS effects (tingling sensation, vertigo)</w:t>
      </w:r>
    </w:p>
    <w:p w:rsidR="00DA3395" w:rsidRDefault="00DA3395" w:rsidP="00DA339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Intervention:</w:t>
      </w:r>
    </w:p>
    <w:p w:rsidR="00DA3395" w:rsidRDefault="00DA3395" w:rsidP="00DA3395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Monitor for reports of heaviness in the chest</w:t>
      </w:r>
    </w:p>
    <w:p w:rsidR="00DA3395" w:rsidRDefault="00DA3395" w:rsidP="00DA3395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Monitor for reports of cp</w:t>
      </w:r>
    </w:p>
    <w:p w:rsidR="00DA3395" w:rsidRDefault="00DA3395" w:rsidP="00DA3395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Monitor vital signs after the first dose</w:t>
      </w:r>
    </w:p>
    <w:p w:rsidR="00DA3395" w:rsidRDefault="00DA3395" w:rsidP="00DA339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Administer:</w:t>
      </w:r>
    </w:p>
    <w:p w:rsidR="00DA3395" w:rsidRDefault="00DA3395" w:rsidP="00DA3395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Give orally, by nasal spray or SC</w:t>
      </w:r>
    </w:p>
    <w:p w:rsidR="00DA3395" w:rsidRDefault="00DA3395" w:rsidP="00DA3395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Use nasal spray by spraying once into a single nostril, repeat once after 2 hours as needed</w:t>
      </w:r>
    </w:p>
    <w:p w:rsidR="00DA3395" w:rsidRDefault="00DA3395" w:rsidP="00DA3395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Give each single dose of 5-20 mg</w:t>
      </w:r>
    </w:p>
    <w:p w:rsidR="00DA3395" w:rsidRDefault="00DA3395" w:rsidP="00DA3395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Give no more than 40 mg in 24 hours</w:t>
      </w:r>
    </w:p>
    <w:p w:rsidR="00DA3395" w:rsidRDefault="00DA3395" w:rsidP="00DA3395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Give one SC injection, repeat once after 1 hr if no relief (no more than 2 </w:t>
      </w:r>
      <w:proofErr w:type="spellStart"/>
      <w:r>
        <w:rPr>
          <w:color w:val="000000" w:themeColor="text1"/>
          <w:sz w:val="24"/>
          <w:szCs w:val="24"/>
        </w:rPr>
        <w:t>doeses</w:t>
      </w:r>
      <w:proofErr w:type="spellEnd"/>
      <w:r>
        <w:rPr>
          <w:color w:val="000000" w:themeColor="text1"/>
          <w:sz w:val="24"/>
          <w:szCs w:val="24"/>
        </w:rPr>
        <w:t>/24 hours)</w:t>
      </w:r>
    </w:p>
    <w:p w:rsidR="00DA3395" w:rsidRDefault="00DA3395" w:rsidP="00DA3395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Give one oral tablet, repeat once after 2 hr if no relief</w:t>
      </w:r>
    </w:p>
    <w:p w:rsidR="00DA3395" w:rsidRDefault="00DA3395" w:rsidP="00DA3395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Give each single dose of 25 mg to 100 mg</w:t>
      </w:r>
    </w:p>
    <w:p w:rsidR="00DA3395" w:rsidRDefault="00DA3395" w:rsidP="00DA3395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Give no more than 300 mg in 24 hours</w:t>
      </w:r>
    </w:p>
    <w:p w:rsidR="00DA3395" w:rsidRDefault="00DA3395" w:rsidP="00DA339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Patient instruction:</w:t>
      </w:r>
    </w:p>
    <w:p w:rsidR="00DA3395" w:rsidRDefault="00DA3395" w:rsidP="00DA3395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Notify the provider at once for chest pressure or tightness/heaviness in the back, jaw, or throat that is not immediately relieved</w:t>
      </w:r>
    </w:p>
    <w:p w:rsidR="00DA3395" w:rsidRDefault="00DA3395" w:rsidP="00DA3395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Report CNS symptoms</w:t>
      </w:r>
    </w:p>
    <w:p w:rsidR="00DA3395" w:rsidRDefault="00DA3395" w:rsidP="00DA339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Contraindications:</w:t>
      </w:r>
    </w:p>
    <w:p w:rsidR="00DA3395" w:rsidRDefault="00DA3395" w:rsidP="00DA3395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Coronary artery disease, angina, previous MI</w:t>
      </w:r>
    </w:p>
    <w:p w:rsidR="00DA3395" w:rsidRDefault="00DA3395" w:rsidP="00DA3395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Severe HTN or peripheral vascular disease</w:t>
      </w:r>
    </w:p>
    <w:p w:rsidR="00DA3395" w:rsidRDefault="00DA3395" w:rsidP="00DA3395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Cerebrovascular</w:t>
      </w:r>
      <w:proofErr w:type="spellEnd"/>
      <w:r>
        <w:rPr>
          <w:color w:val="000000" w:themeColor="text1"/>
          <w:sz w:val="24"/>
          <w:szCs w:val="24"/>
        </w:rPr>
        <w:t xml:space="preserve"> accident or stroke</w:t>
      </w:r>
    </w:p>
    <w:p w:rsidR="00DA3395" w:rsidRDefault="00DA3395" w:rsidP="00DA339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Precautions:</w:t>
      </w:r>
    </w:p>
    <w:p w:rsidR="00DA3395" w:rsidRDefault="00DA3395" w:rsidP="00DA3395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Liver or kidney insufficiency</w:t>
      </w:r>
    </w:p>
    <w:p w:rsidR="00F10A4A" w:rsidRDefault="00F10A4A" w:rsidP="00F10A4A">
      <w:pPr>
        <w:pStyle w:val="ListParagraph"/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10A4A" w:rsidRPr="00F10A4A" w:rsidRDefault="00F10A4A" w:rsidP="00F10A4A">
      <w:pPr>
        <w:pStyle w:val="ListParagraph"/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0A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Drugs that treat multiple sclerosis</w:t>
      </w:r>
    </w:p>
    <w:p w:rsidR="00F10A4A" w:rsidRPr="00F10A4A" w:rsidRDefault="00F10A4A" w:rsidP="00F10A4A">
      <w:pPr>
        <w:pStyle w:val="ListParagraph"/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0A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Drug therapy for </w:t>
      </w:r>
      <w:proofErr w:type="spellStart"/>
      <w:proofErr w:type="gramStart"/>
      <w:r w:rsidRPr="00F10A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parkinson's</w:t>
      </w:r>
      <w:proofErr w:type="spellEnd"/>
      <w:proofErr w:type="gramEnd"/>
      <w:r w:rsidRPr="00F10A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disease</w:t>
      </w:r>
    </w:p>
    <w:p w:rsidR="00F10A4A" w:rsidRPr="00F10A4A" w:rsidRDefault="00F10A4A" w:rsidP="00F10A4A">
      <w:pPr>
        <w:pStyle w:val="ListParagraph"/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0A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Drugs that treat Alzheimer's disease</w:t>
      </w:r>
    </w:p>
    <w:p w:rsidR="00F10A4A" w:rsidRPr="00F10A4A" w:rsidRDefault="00F10A4A" w:rsidP="00F10A4A">
      <w:pPr>
        <w:rPr>
          <w:color w:val="000000" w:themeColor="text1"/>
          <w:sz w:val="24"/>
          <w:szCs w:val="24"/>
        </w:rPr>
      </w:pPr>
    </w:p>
    <w:p w:rsidR="00DA3395" w:rsidRPr="00DA3395" w:rsidRDefault="00DA3395" w:rsidP="00DA3395">
      <w:pPr>
        <w:rPr>
          <w:color w:val="000000" w:themeColor="text1"/>
          <w:sz w:val="24"/>
          <w:szCs w:val="24"/>
        </w:rPr>
      </w:pPr>
    </w:p>
    <w:sectPr w:rsidR="00DA3395" w:rsidRPr="00DA3395" w:rsidSect="00984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55pt;height:11.55pt" o:bullet="t">
        <v:imagedata r:id="rId1" o:title="mso8BA0"/>
      </v:shape>
    </w:pict>
  </w:numPicBullet>
  <w:abstractNum w:abstractNumId="0">
    <w:nsid w:val="00555C0E"/>
    <w:multiLevelType w:val="hybridMultilevel"/>
    <w:tmpl w:val="9274DA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21018"/>
    <w:multiLevelType w:val="hybridMultilevel"/>
    <w:tmpl w:val="3EB8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C5F32"/>
    <w:multiLevelType w:val="hybridMultilevel"/>
    <w:tmpl w:val="75EC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91EED"/>
    <w:multiLevelType w:val="hybridMultilevel"/>
    <w:tmpl w:val="25DE4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B260B"/>
    <w:multiLevelType w:val="hybridMultilevel"/>
    <w:tmpl w:val="6CEE44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0670BC"/>
    <w:multiLevelType w:val="hybridMultilevel"/>
    <w:tmpl w:val="66A2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F213B"/>
    <w:multiLevelType w:val="multilevel"/>
    <w:tmpl w:val="53B8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DEC3AE3"/>
    <w:multiLevelType w:val="hybridMultilevel"/>
    <w:tmpl w:val="9F005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B20A0"/>
    <w:multiLevelType w:val="hybridMultilevel"/>
    <w:tmpl w:val="0DB08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1F543D"/>
    <w:multiLevelType w:val="hybridMultilevel"/>
    <w:tmpl w:val="DDE4F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D74E3"/>
    <w:multiLevelType w:val="hybridMultilevel"/>
    <w:tmpl w:val="076E8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13649"/>
    <w:multiLevelType w:val="hybridMultilevel"/>
    <w:tmpl w:val="77546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D21FD"/>
    <w:multiLevelType w:val="hybridMultilevel"/>
    <w:tmpl w:val="546897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0B3176"/>
    <w:multiLevelType w:val="hybridMultilevel"/>
    <w:tmpl w:val="6EFC27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971FDD"/>
    <w:multiLevelType w:val="hybridMultilevel"/>
    <w:tmpl w:val="2516FE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107A71"/>
    <w:multiLevelType w:val="hybridMultilevel"/>
    <w:tmpl w:val="0A4678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C206AA"/>
    <w:multiLevelType w:val="hybridMultilevel"/>
    <w:tmpl w:val="ABB4C4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3400FD"/>
    <w:multiLevelType w:val="hybridMultilevel"/>
    <w:tmpl w:val="4A0619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A14BF"/>
    <w:multiLevelType w:val="hybridMultilevel"/>
    <w:tmpl w:val="22963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FA48E9"/>
    <w:multiLevelType w:val="hybridMultilevel"/>
    <w:tmpl w:val="BD064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B721F"/>
    <w:multiLevelType w:val="hybridMultilevel"/>
    <w:tmpl w:val="B9F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6016D3"/>
    <w:multiLevelType w:val="hybridMultilevel"/>
    <w:tmpl w:val="A0186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531ED"/>
    <w:multiLevelType w:val="hybridMultilevel"/>
    <w:tmpl w:val="26F4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04D91"/>
    <w:multiLevelType w:val="hybridMultilevel"/>
    <w:tmpl w:val="1194E1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31D23"/>
    <w:multiLevelType w:val="hybridMultilevel"/>
    <w:tmpl w:val="02EEC7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4F5E52"/>
    <w:multiLevelType w:val="hybridMultilevel"/>
    <w:tmpl w:val="7026BC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0F2D2B"/>
    <w:multiLevelType w:val="hybridMultilevel"/>
    <w:tmpl w:val="FDA085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730A64"/>
    <w:multiLevelType w:val="hybridMultilevel"/>
    <w:tmpl w:val="BE067A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F0BC1"/>
    <w:multiLevelType w:val="hybridMultilevel"/>
    <w:tmpl w:val="56FC56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0667EF"/>
    <w:multiLevelType w:val="hybridMultilevel"/>
    <w:tmpl w:val="3372E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664AA"/>
    <w:multiLevelType w:val="hybridMultilevel"/>
    <w:tmpl w:val="17AC8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96371B"/>
    <w:multiLevelType w:val="hybridMultilevel"/>
    <w:tmpl w:val="A630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A631C7"/>
    <w:multiLevelType w:val="hybridMultilevel"/>
    <w:tmpl w:val="C2E683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345820"/>
    <w:multiLevelType w:val="hybridMultilevel"/>
    <w:tmpl w:val="28F251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040ECC"/>
    <w:multiLevelType w:val="hybridMultilevel"/>
    <w:tmpl w:val="A426D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A87654"/>
    <w:multiLevelType w:val="hybridMultilevel"/>
    <w:tmpl w:val="9C329F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E91280"/>
    <w:multiLevelType w:val="hybridMultilevel"/>
    <w:tmpl w:val="C846A4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84432E"/>
    <w:multiLevelType w:val="hybridMultilevel"/>
    <w:tmpl w:val="E88A7E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ED7A6C"/>
    <w:multiLevelType w:val="hybridMultilevel"/>
    <w:tmpl w:val="B7AA71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5185"/>
    <w:multiLevelType w:val="hybridMultilevel"/>
    <w:tmpl w:val="29B681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80F03"/>
    <w:multiLevelType w:val="hybridMultilevel"/>
    <w:tmpl w:val="29529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614B19"/>
    <w:multiLevelType w:val="hybridMultilevel"/>
    <w:tmpl w:val="9582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1"/>
  </w:num>
  <w:num w:numId="4">
    <w:abstractNumId w:val="2"/>
  </w:num>
  <w:num w:numId="5">
    <w:abstractNumId w:val="4"/>
  </w:num>
  <w:num w:numId="6">
    <w:abstractNumId w:val="10"/>
  </w:num>
  <w:num w:numId="7">
    <w:abstractNumId w:val="32"/>
  </w:num>
  <w:num w:numId="8">
    <w:abstractNumId w:val="8"/>
  </w:num>
  <w:num w:numId="9">
    <w:abstractNumId w:val="40"/>
  </w:num>
  <w:num w:numId="10">
    <w:abstractNumId w:val="15"/>
  </w:num>
  <w:num w:numId="11">
    <w:abstractNumId w:val="27"/>
  </w:num>
  <w:num w:numId="12">
    <w:abstractNumId w:val="9"/>
  </w:num>
  <w:num w:numId="13">
    <w:abstractNumId w:val="22"/>
  </w:num>
  <w:num w:numId="14">
    <w:abstractNumId w:val="39"/>
  </w:num>
  <w:num w:numId="15">
    <w:abstractNumId w:val="26"/>
  </w:num>
  <w:num w:numId="16">
    <w:abstractNumId w:val="17"/>
  </w:num>
  <w:num w:numId="17">
    <w:abstractNumId w:val="35"/>
  </w:num>
  <w:num w:numId="18">
    <w:abstractNumId w:val="3"/>
  </w:num>
  <w:num w:numId="19">
    <w:abstractNumId w:val="14"/>
  </w:num>
  <w:num w:numId="20">
    <w:abstractNumId w:val="28"/>
  </w:num>
  <w:num w:numId="21">
    <w:abstractNumId w:val="12"/>
  </w:num>
  <w:num w:numId="22">
    <w:abstractNumId w:val="20"/>
  </w:num>
  <w:num w:numId="23">
    <w:abstractNumId w:val="18"/>
  </w:num>
  <w:num w:numId="24">
    <w:abstractNumId w:val="21"/>
  </w:num>
  <w:num w:numId="25">
    <w:abstractNumId w:val="25"/>
  </w:num>
  <w:num w:numId="26">
    <w:abstractNumId w:val="23"/>
  </w:num>
  <w:num w:numId="27">
    <w:abstractNumId w:val="29"/>
  </w:num>
  <w:num w:numId="28">
    <w:abstractNumId w:val="33"/>
  </w:num>
  <w:num w:numId="29">
    <w:abstractNumId w:val="24"/>
  </w:num>
  <w:num w:numId="30">
    <w:abstractNumId w:val="0"/>
  </w:num>
  <w:num w:numId="31">
    <w:abstractNumId w:val="19"/>
  </w:num>
  <w:num w:numId="32">
    <w:abstractNumId w:val="7"/>
  </w:num>
  <w:num w:numId="33">
    <w:abstractNumId w:val="36"/>
  </w:num>
  <w:num w:numId="34">
    <w:abstractNumId w:val="38"/>
  </w:num>
  <w:num w:numId="35">
    <w:abstractNumId w:val="41"/>
  </w:num>
  <w:num w:numId="36">
    <w:abstractNumId w:val="11"/>
  </w:num>
  <w:num w:numId="37">
    <w:abstractNumId w:val="16"/>
  </w:num>
  <w:num w:numId="38">
    <w:abstractNumId w:val="34"/>
  </w:num>
  <w:num w:numId="39">
    <w:abstractNumId w:val="1"/>
  </w:num>
  <w:num w:numId="40">
    <w:abstractNumId w:val="13"/>
  </w:num>
  <w:num w:numId="41">
    <w:abstractNumId w:val="37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1180F"/>
    <w:rsid w:val="00094B2C"/>
    <w:rsid w:val="00127DE2"/>
    <w:rsid w:val="00147734"/>
    <w:rsid w:val="00161EF9"/>
    <w:rsid w:val="003D4DB7"/>
    <w:rsid w:val="004A5DA5"/>
    <w:rsid w:val="007D0077"/>
    <w:rsid w:val="008A75CA"/>
    <w:rsid w:val="00984993"/>
    <w:rsid w:val="00A72F19"/>
    <w:rsid w:val="00C81E51"/>
    <w:rsid w:val="00CA3B58"/>
    <w:rsid w:val="00CD7D23"/>
    <w:rsid w:val="00D647EF"/>
    <w:rsid w:val="00DA3395"/>
    <w:rsid w:val="00F10A4A"/>
    <w:rsid w:val="00F1180F"/>
    <w:rsid w:val="00F2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18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4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200A1-8FCE-4252-BCE2-CBA7D6EC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Shawn</cp:lastModifiedBy>
  <cp:revision>9</cp:revision>
  <dcterms:created xsi:type="dcterms:W3CDTF">2013-02-13T00:51:00Z</dcterms:created>
  <dcterms:modified xsi:type="dcterms:W3CDTF">2013-02-16T02:49:00Z</dcterms:modified>
</cp:coreProperties>
</file>