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09" w:rsidRDefault="003147D0">
      <w:r>
        <w:t>Rachel Buie</w:t>
      </w:r>
    </w:p>
    <w:p w:rsidR="003147D0" w:rsidRDefault="003147D0">
      <w:r>
        <w:t>NCA 1</w:t>
      </w:r>
    </w:p>
    <w:p w:rsidR="003147D0" w:rsidRDefault="003147D0">
      <w:r>
        <w:t>Pathophysiology</w:t>
      </w:r>
    </w:p>
    <w:p w:rsidR="003147D0" w:rsidRDefault="003147D0">
      <w:r>
        <w:t>20 January 2012</w:t>
      </w:r>
    </w:p>
    <w:p w:rsidR="003147D0" w:rsidRDefault="003147D0" w:rsidP="003147D0">
      <w:pPr>
        <w:jc w:val="center"/>
      </w:pPr>
      <w:r>
        <w:t>Cholecystitis</w:t>
      </w:r>
    </w:p>
    <w:p w:rsidR="003147D0" w:rsidRDefault="003147D0" w:rsidP="003147D0">
      <w:r>
        <w:t>Definition</w:t>
      </w:r>
    </w:p>
    <w:p w:rsidR="003147D0" w:rsidRDefault="003147D0" w:rsidP="003147D0">
      <w:pPr>
        <w:pStyle w:val="ListParagraph"/>
        <w:numPr>
          <w:ilvl w:val="0"/>
          <w:numId w:val="1"/>
        </w:numPr>
      </w:pPr>
      <w:r>
        <w:t>inflammation of the gall bladder</w:t>
      </w:r>
    </w:p>
    <w:p w:rsidR="003147D0" w:rsidRDefault="003147D0" w:rsidP="003147D0">
      <w:r>
        <w:t>Etiology</w:t>
      </w:r>
    </w:p>
    <w:p w:rsidR="003147D0" w:rsidRDefault="003147D0" w:rsidP="003147D0">
      <w:pPr>
        <w:pStyle w:val="ListParagraph"/>
        <w:numPr>
          <w:ilvl w:val="0"/>
          <w:numId w:val="1"/>
        </w:numPr>
      </w:pPr>
      <w:r>
        <w:t>most commonly associated with obstruction caused by gallstones or biliary sludge</w:t>
      </w:r>
    </w:p>
    <w:p w:rsidR="003147D0" w:rsidRDefault="003147D0" w:rsidP="003147D0">
      <w:pPr>
        <w:pStyle w:val="ListParagraph"/>
        <w:numPr>
          <w:ilvl w:val="0"/>
          <w:numId w:val="1"/>
        </w:numPr>
      </w:pPr>
      <w:r>
        <w:t>can occur as a result of prolonged immobility, fasting, prolonged parenteral nutrition, and diabetes mellitus</w:t>
      </w:r>
    </w:p>
    <w:p w:rsidR="003147D0" w:rsidRDefault="003147D0" w:rsidP="003147D0">
      <w:pPr>
        <w:pStyle w:val="ListParagraph"/>
        <w:numPr>
          <w:ilvl w:val="0"/>
          <w:numId w:val="1"/>
        </w:numPr>
      </w:pPr>
      <w:r>
        <w:t>bacteria reaching the gall bladder by way of vascular or lymphatic route can also cause inflammation</w:t>
      </w:r>
    </w:p>
    <w:p w:rsidR="003147D0" w:rsidRDefault="003147D0" w:rsidP="003147D0">
      <w:pPr>
        <w:pStyle w:val="ListParagraph"/>
        <w:numPr>
          <w:ilvl w:val="0"/>
          <w:numId w:val="1"/>
        </w:numPr>
      </w:pPr>
      <w:r>
        <w:t>Escherichia coli is most common bacterium involved</w:t>
      </w:r>
    </w:p>
    <w:p w:rsidR="003147D0" w:rsidRDefault="003147D0" w:rsidP="003147D0">
      <w:pPr>
        <w:pStyle w:val="ListParagraph"/>
        <w:numPr>
          <w:ilvl w:val="0"/>
          <w:numId w:val="1"/>
        </w:numPr>
      </w:pPr>
      <w:r>
        <w:t>Streptococci, salmonellae, adhesion, neoplasms, anesthesia, and narcotics can contribute to Cholecystitis</w:t>
      </w:r>
    </w:p>
    <w:p w:rsidR="003147D0" w:rsidRDefault="003147D0" w:rsidP="003147D0">
      <w:r>
        <w:t>Pathophysiology</w:t>
      </w:r>
    </w:p>
    <w:p w:rsidR="003147D0" w:rsidRDefault="003147D0" w:rsidP="003147D0">
      <w:pPr>
        <w:pStyle w:val="ListParagraph"/>
        <w:numPr>
          <w:ilvl w:val="0"/>
          <w:numId w:val="2"/>
        </w:numPr>
      </w:pPr>
      <w:r>
        <w:t>Inflammation is major pathophysiologic condition</w:t>
      </w:r>
    </w:p>
    <w:p w:rsidR="003147D0" w:rsidRDefault="003147D0" w:rsidP="003147D0">
      <w:pPr>
        <w:pStyle w:val="ListParagraph"/>
        <w:numPr>
          <w:ilvl w:val="0"/>
          <w:numId w:val="2"/>
        </w:numPr>
      </w:pPr>
      <w:r>
        <w:t>Can be confined to  mucous lining  or involve the entire wall of the gall bladder</w:t>
      </w:r>
    </w:p>
    <w:p w:rsidR="003147D0" w:rsidRDefault="003147D0" w:rsidP="003147D0">
      <w:pPr>
        <w:pStyle w:val="ListParagraph"/>
        <w:numPr>
          <w:ilvl w:val="0"/>
          <w:numId w:val="2"/>
        </w:numPr>
      </w:pPr>
      <w:r>
        <w:t>An acute attack caused gall bladder to become edematous and hyperemic</w:t>
      </w:r>
    </w:p>
    <w:p w:rsidR="003147D0" w:rsidRDefault="003147D0" w:rsidP="003147D0">
      <w:pPr>
        <w:pStyle w:val="ListParagraph"/>
        <w:numPr>
          <w:ilvl w:val="0"/>
          <w:numId w:val="2"/>
        </w:numPr>
      </w:pPr>
      <w:r>
        <w:t>Distension with bile and pus is also a possibility</w:t>
      </w:r>
    </w:p>
    <w:p w:rsidR="003147D0" w:rsidRDefault="003147D0" w:rsidP="003147D0">
      <w:pPr>
        <w:pStyle w:val="ListParagraph"/>
        <w:numPr>
          <w:ilvl w:val="0"/>
          <w:numId w:val="2"/>
        </w:numPr>
      </w:pPr>
      <w:r>
        <w:t>Because it is also involved the cystic duct may become occluded</w:t>
      </w:r>
    </w:p>
    <w:p w:rsidR="003147D0" w:rsidRDefault="003147D0" w:rsidP="003147D0">
      <w:r>
        <w:t>Clinical Manifestations</w:t>
      </w:r>
    </w:p>
    <w:p w:rsidR="003147D0" w:rsidRDefault="003147D0" w:rsidP="003147D0">
      <w:pPr>
        <w:pStyle w:val="ListParagraph"/>
        <w:numPr>
          <w:ilvl w:val="0"/>
          <w:numId w:val="3"/>
        </w:numPr>
      </w:pPr>
      <w:r>
        <w:t>Vary from indigestion to moderate to severe pain, fever, and jaundice</w:t>
      </w:r>
    </w:p>
    <w:p w:rsidR="003147D0" w:rsidRDefault="003147D0" w:rsidP="003147D0">
      <w:pPr>
        <w:pStyle w:val="ListParagraph"/>
        <w:numPr>
          <w:ilvl w:val="0"/>
          <w:numId w:val="3"/>
        </w:numPr>
      </w:pPr>
      <w:r>
        <w:t>Pain and tenderness in the RUQ which may be referred to right shoulder and scapula</w:t>
      </w:r>
    </w:p>
    <w:p w:rsidR="003147D0" w:rsidRDefault="003147D0" w:rsidP="003147D0">
      <w:pPr>
        <w:pStyle w:val="ListParagraph"/>
        <w:numPr>
          <w:ilvl w:val="0"/>
          <w:numId w:val="3"/>
        </w:numPr>
      </w:pPr>
      <w:r>
        <w:t>Pain may be acute or accompanied by nausea and vomiting, restlessness, and diaphoresis</w:t>
      </w:r>
    </w:p>
    <w:p w:rsidR="003147D0" w:rsidRDefault="003147D0" w:rsidP="003147D0">
      <w:pPr>
        <w:pStyle w:val="ListParagraph"/>
        <w:numPr>
          <w:ilvl w:val="0"/>
          <w:numId w:val="3"/>
        </w:numPr>
      </w:pPr>
      <w:r>
        <w:t>Inflammation can include leukocytosis and fever</w:t>
      </w:r>
    </w:p>
    <w:p w:rsidR="003147D0" w:rsidRDefault="003147D0" w:rsidP="003147D0">
      <w:pPr>
        <w:pStyle w:val="ListParagraph"/>
        <w:numPr>
          <w:ilvl w:val="0"/>
          <w:numId w:val="3"/>
        </w:numPr>
      </w:pPr>
      <w:r>
        <w:t>RUQ tenderness and abdominal rigidity are two physical findings</w:t>
      </w:r>
    </w:p>
    <w:p w:rsidR="003147D0" w:rsidRDefault="003147D0" w:rsidP="003147D0">
      <w:r>
        <w:t>Diagnostic Studies</w:t>
      </w:r>
    </w:p>
    <w:p w:rsidR="003147D0" w:rsidRDefault="003147D0" w:rsidP="003147D0">
      <w:pPr>
        <w:pStyle w:val="ListParagraph"/>
        <w:numPr>
          <w:ilvl w:val="0"/>
          <w:numId w:val="4"/>
        </w:numPr>
      </w:pPr>
      <w:r>
        <w:t>Ultrasonography is used to detect gall stones in patients with jaundice and an allergy to contrast medium</w:t>
      </w:r>
    </w:p>
    <w:p w:rsidR="003147D0" w:rsidRDefault="003147D0" w:rsidP="003147D0">
      <w:pPr>
        <w:pStyle w:val="ListParagraph"/>
        <w:numPr>
          <w:ilvl w:val="0"/>
          <w:numId w:val="4"/>
        </w:numPr>
      </w:pPr>
      <w:r>
        <w:lastRenderedPageBreak/>
        <w:t>ERCP (endoscopic retrograde cholangiopancreatography) allows for visualization  of gall bladder, cystic duct, common hepatic duct, and common bile duct</w:t>
      </w:r>
    </w:p>
    <w:p w:rsidR="003147D0" w:rsidRDefault="003147D0" w:rsidP="003147D0">
      <w:pPr>
        <w:pStyle w:val="ListParagraph"/>
        <w:numPr>
          <w:ilvl w:val="0"/>
          <w:numId w:val="4"/>
        </w:numPr>
      </w:pPr>
      <w:r>
        <w:t>Percutaneous transhepatic cholangiography is the insertion of a needle directly into gall bladder duct followed by injection of contrast materials</w:t>
      </w:r>
    </w:p>
    <w:p w:rsidR="003147D0" w:rsidRDefault="003147D0" w:rsidP="003147D0">
      <w:pPr>
        <w:pStyle w:val="ListParagraph"/>
        <w:numPr>
          <w:ilvl w:val="0"/>
          <w:numId w:val="4"/>
        </w:numPr>
      </w:pPr>
      <w:r>
        <w:t>WBC count reveals results of infection or inflammation</w:t>
      </w:r>
    </w:p>
    <w:p w:rsidR="003147D0" w:rsidRDefault="003147D0" w:rsidP="003147D0">
      <w:r>
        <w:t>Treatments and Medications</w:t>
      </w:r>
    </w:p>
    <w:p w:rsidR="003147D0" w:rsidRDefault="003147D0" w:rsidP="003147D0">
      <w:pPr>
        <w:pStyle w:val="ListParagraph"/>
        <w:numPr>
          <w:ilvl w:val="0"/>
          <w:numId w:val="5"/>
        </w:numPr>
      </w:pPr>
      <w:r>
        <w:t>Control pain with analgesics</w:t>
      </w:r>
      <w:r w:rsidR="009E735D">
        <w:t xml:space="preserve"> (NSAIDs and/or Toradol)</w:t>
      </w:r>
    </w:p>
    <w:p w:rsidR="003147D0" w:rsidRDefault="003147D0" w:rsidP="003147D0">
      <w:pPr>
        <w:pStyle w:val="ListParagraph"/>
        <w:numPr>
          <w:ilvl w:val="0"/>
          <w:numId w:val="5"/>
        </w:numPr>
      </w:pPr>
      <w:r>
        <w:t>Control of infection with antibiotics</w:t>
      </w:r>
      <w:r w:rsidR="009E735D">
        <w:t xml:space="preserve"> (Zosyn)</w:t>
      </w:r>
    </w:p>
    <w:p w:rsidR="003147D0" w:rsidRDefault="003147D0" w:rsidP="003147D0">
      <w:pPr>
        <w:pStyle w:val="ListParagraph"/>
        <w:numPr>
          <w:ilvl w:val="0"/>
          <w:numId w:val="5"/>
        </w:numPr>
      </w:pPr>
      <w:r>
        <w:t>Maintenance of fluid and electrolyte imbalances by use of IV</w:t>
      </w:r>
      <w:r w:rsidR="009E735D">
        <w:t xml:space="preserve"> (NS 0.9%)</w:t>
      </w:r>
    </w:p>
    <w:p w:rsidR="003147D0" w:rsidRDefault="009E735D" w:rsidP="006F5C31">
      <w:pPr>
        <w:pStyle w:val="ListParagraph"/>
        <w:numPr>
          <w:ilvl w:val="0"/>
          <w:numId w:val="5"/>
        </w:numPr>
      </w:pPr>
      <w:r>
        <w:t>Anticholinergics to decrease secretion and</w:t>
      </w:r>
      <w:r w:rsidR="006F5C31">
        <w:t xml:space="preserve"> counteract smooth muscle spasms</w:t>
      </w:r>
    </w:p>
    <w:p w:rsidR="006F5C31" w:rsidRDefault="006F5C31" w:rsidP="006F5C31"/>
    <w:p w:rsidR="006F5C31" w:rsidRDefault="006F5C31" w:rsidP="006F5C31"/>
    <w:p w:rsidR="006F5C31" w:rsidRDefault="006F5C31" w:rsidP="006F5C31">
      <w:pPr>
        <w:ind w:left="720" w:hanging="720"/>
      </w:pPr>
      <w:r>
        <w:t>Lewis, S. M. (2011). Medical-surgical Nursing: Assessment and Management of Clinical Problems (8</w:t>
      </w:r>
      <w:r w:rsidRPr="006F5C31">
        <w:rPr>
          <w:vertAlign w:val="superscript"/>
        </w:rPr>
        <w:t>th</w:t>
      </w:r>
      <w:r>
        <w:t xml:space="preserve"> </w:t>
      </w:r>
      <w:proofErr w:type="gramStart"/>
      <w:r>
        <w:t>ed</w:t>
      </w:r>
      <w:proofErr w:type="gramEnd"/>
      <w:r>
        <w:t>.). St Lo</w:t>
      </w:r>
      <w:bookmarkStart w:id="0" w:name="_GoBack"/>
      <w:bookmarkEnd w:id="0"/>
      <w:r>
        <w:t>uis, Mo: Elsevier/Mosby. Pp. 1095-1097</w:t>
      </w:r>
    </w:p>
    <w:sectPr w:rsidR="006F5C31" w:rsidSect="003147D0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5400E"/>
    <w:multiLevelType w:val="hybridMultilevel"/>
    <w:tmpl w:val="12047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72C4C"/>
    <w:multiLevelType w:val="hybridMultilevel"/>
    <w:tmpl w:val="544E9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D5C39"/>
    <w:multiLevelType w:val="hybridMultilevel"/>
    <w:tmpl w:val="76F06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101FB6"/>
    <w:multiLevelType w:val="hybridMultilevel"/>
    <w:tmpl w:val="71148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771CA"/>
    <w:multiLevelType w:val="hybridMultilevel"/>
    <w:tmpl w:val="1972AD9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D0"/>
    <w:rsid w:val="00073D1C"/>
    <w:rsid w:val="00204B09"/>
    <w:rsid w:val="003147D0"/>
    <w:rsid w:val="006F5C31"/>
    <w:rsid w:val="009E735D"/>
    <w:rsid w:val="00E7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7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3</cp:revision>
  <dcterms:created xsi:type="dcterms:W3CDTF">2012-01-22T07:04:00Z</dcterms:created>
  <dcterms:modified xsi:type="dcterms:W3CDTF">2012-01-22T07:42:00Z</dcterms:modified>
</cp:coreProperties>
</file>