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426BD9" w:rsidP="00346D48">
            <w:pPr>
              <w:rPr>
                <w:rFonts w:ascii="Comic Sans MS" w:hAnsi="Comic Sans MS"/>
              </w:rPr>
            </w:pPr>
            <w:r w:rsidRPr="004E2EF0">
              <w:rPr>
                <w:rFonts w:ascii="Comic Sans MS" w:hAnsi="Comic Sans MS"/>
              </w:rPr>
              <w:t>2/15/12</w:t>
            </w:r>
          </w:p>
          <w:p w:rsidR="00426BD9" w:rsidRPr="004E2EF0" w:rsidRDefault="00426BD9" w:rsidP="00346D48">
            <w:pPr>
              <w:rPr>
                <w:rFonts w:ascii="Comic Sans MS" w:hAnsi="Comic Sans MS"/>
              </w:rPr>
            </w:pPr>
            <w:r w:rsidRPr="004E2EF0">
              <w:rPr>
                <w:rFonts w:ascii="Comic Sans MS" w:hAnsi="Comic Sans MS"/>
              </w:rPr>
              <w:t>KD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892D43" w:rsidP="00346D4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Ineffective Self-Health Management</w:t>
            </w:r>
            <w:r w:rsidR="001302F4" w:rsidRPr="004E2EF0">
              <w:rPr>
                <w:rFonts w:ascii="Comic Sans MS" w:hAnsi="Comic Sans MS"/>
              </w:rPr>
              <w:t xml:space="preserve"> R/T</w:t>
            </w:r>
            <w:r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  <w:i/>
              </w:rPr>
              <w:t>Continued Hyperglycemia</w:t>
            </w:r>
            <w:r w:rsidR="001302F4" w:rsidRPr="004E2EF0">
              <w:rPr>
                <w:rFonts w:ascii="Comic Sans MS" w:hAnsi="Comic Sans MS"/>
              </w:rPr>
              <w:t>, AEB:</w:t>
            </w:r>
          </w:p>
          <w:p w:rsidR="001302F4" w:rsidRPr="004E2EF0" w:rsidRDefault="001302F4" w:rsidP="00346D48">
            <w:pPr>
              <w:rPr>
                <w:rFonts w:ascii="Comic Sans MS" w:hAnsi="Comic Sans MS"/>
              </w:rPr>
            </w:pPr>
          </w:p>
          <w:p w:rsidR="004E2EF0" w:rsidRDefault="004E2EF0" w:rsidP="004E2EF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BMI 31.9 kg/m</w:t>
            </w:r>
            <w:r>
              <w:rPr>
                <w:rFonts w:ascii="Comic Sans MS" w:hAnsi="Comic Sans MS"/>
                <w:vertAlign w:val="superscript"/>
              </w:rPr>
              <w:t>2</w:t>
            </w:r>
          </w:p>
          <w:p w:rsidR="004E2EF0" w:rsidRDefault="004E2EF0" w:rsidP="004E2EF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A1C 8% on 2/12/12</w:t>
            </w:r>
          </w:p>
          <w:p w:rsidR="00892D43" w:rsidRDefault="00892D43" w:rsidP="004E2EF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FSBS &gt;300 upon admission</w:t>
            </w:r>
          </w:p>
          <w:p w:rsidR="004E2EF0" w:rsidRDefault="004E2EF0" w:rsidP="004E2EF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Sedentary lifestyle</w:t>
            </w:r>
          </w:p>
          <w:p w:rsidR="004E2EF0" w:rsidRDefault="00814F81" w:rsidP="004E2EF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Poor knowledge of DM management action plan</w:t>
            </w:r>
          </w:p>
          <w:p w:rsidR="00814F81" w:rsidRDefault="00814F81" w:rsidP="004E2EF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Inadequate </w:t>
            </w:r>
            <w:r w:rsidR="00892D43">
              <w:rPr>
                <w:rFonts w:ascii="Comic Sans MS" w:hAnsi="Comic Sans MS"/>
              </w:rPr>
              <w:t xml:space="preserve">home </w:t>
            </w:r>
            <w:r>
              <w:rPr>
                <w:rFonts w:ascii="Comic Sans MS" w:hAnsi="Comic Sans MS"/>
              </w:rPr>
              <w:t>blood glucose monitoring</w:t>
            </w:r>
          </w:p>
          <w:p w:rsidR="00892D43" w:rsidRDefault="00892D43" w:rsidP="00892D4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Unfamiliar with prescribed medication regimen used at home</w:t>
            </w:r>
          </w:p>
          <w:p w:rsidR="00892D43" w:rsidRDefault="005933FA" w:rsidP="004E2EF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Pt reports frequently experiencing S&amp;S of </w:t>
            </w:r>
            <w:r>
              <w:rPr>
                <w:rFonts w:ascii="Comic Sans MS" w:hAnsi="Comic Sans MS"/>
              </w:rPr>
              <w:lastRenderedPageBreak/>
              <w:t>hypoglycemic episodes</w:t>
            </w:r>
          </w:p>
          <w:p w:rsidR="00814F81" w:rsidRDefault="00814F81" w:rsidP="004E2EF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Hyperlipidemia</w:t>
            </w:r>
          </w:p>
          <w:p w:rsidR="00814F81" w:rsidRDefault="00814F81" w:rsidP="004E2EF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HTN</w:t>
            </w:r>
          </w:p>
          <w:p w:rsidR="00814F81" w:rsidRDefault="00814F81" w:rsidP="004E2EF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Chronic Renal Failure (Stage 3)</w:t>
            </w:r>
          </w:p>
          <w:p w:rsidR="00892D43" w:rsidRPr="00892D43" w:rsidRDefault="00814F81" w:rsidP="00892D4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Legally blind (lives with adult child)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70D81" w:rsidP="00346D4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lastRenderedPageBreak/>
              <w:t xml:space="preserve">Patient and/or Family will be able to verbalize key elements of the therapeutic regimen, including knowledge of disease and treatment plan, </w:t>
            </w:r>
            <w:r w:rsidRPr="00070D81">
              <w:rPr>
                <w:rFonts w:ascii="Comic Sans MS" w:hAnsi="Comic Sans MS"/>
              </w:rPr>
              <w:t>AEB:</w:t>
            </w:r>
          </w:p>
          <w:p w:rsidR="00070D81" w:rsidRDefault="00070D81" w:rsidP="00346D48">
            <w:pPr>
              <w:rPr>
                <w:rFonts w:ascii="Comic Sans MS" w:hAnsi="Comic Sans MS"/>
              </w:rPr>
            </w:pPr>
          </w:p>
          <w:p w:rsidR="00070D81" w:rsidRPr="00070D81" w:rsidRDefault="00070D81" w:rsidP="00070D81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 xml:space="preserve">Pt/family will verbalize knowledge of a healthy BMI </w:t>
            </w:r>
          </w:p>
          <w:p w:rsidR="00070D81" w:rsidRPr="00070D81" w:rsidRDefault="00070D81" w:rsidP="00070D81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Pt/family will verbalize understanding the role of dietary intake in blood glucose and weight control</w:t>
            </w:r>
          </w:p>
          <w:p w:rsidR="00070D81" w:rsidRPr="00070D81" w:rsidRDefault="00070D81" w:rsidP="00070D81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Pt/family will verbalize understanding of A1C goal of ≥ 7%, and how to obtain that goal</w:t>
            </w:r>
          </w:p>
          <w:p w:rsidR="00070D81" w:rsidRPr="00070D81" w:rsidRDefault="00070D81" w:rsidP="00070D81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FSBS will continually fall within target range for patient (</w:t>
            </w:r>
            <w:proofErr w:type="spellStart"/>
            <w:r>
              <w:rPr>
                <w:rFonts w:ascii="Comic Sans MS" w:hAnsi="Comic Sans MS"/>
              </w:rPr>
              <w:t>Preprandial</w:t>
            </w:r>
            <w:proofErr w:type="spellEnd"/>
            <w:r>
              <w:rPr>
                <w:rFonts w:ascii="Comic Sans MS" w:hAnsi="Comic Sans MS"/>
              </w:rPr>
              <w:t xml:space="preserve"> level </w:t>
            </w:r>
            <w:r>
              <w:rPr>
                <w:rFonts w:ascii="Comic Sans MS" w:hAnsi="Comic Sans MS"/>
              </w:rPr>
              <w:lastRenderedPageBreak/>
              <w:t>of 70-130mg/dl, and Postprandial level &lt;180mg/dl)</w:t>
            </w:r>
          </w:p>
          <w:p w:rsidR="00070D81" w:rsidRPr="004B788F" w:rsidRDefault="004B788F" w:rsidP="00070D81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Patient will verbalize knowledge of ways to increase physical activity that comply with physical restrictions present</w:t>
            </w:r>
          </w:p>
          <w:p w:rsidR="004B788F" w:rsidRPr="004B788F" w:rsidRDefault="004B788F" w:rsidP="00070D81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Pt/family will show knowledge of home blood glucose monitoring through demonstration and verbalization of proper technique to check FSBS</w:t>
            </w:r>
          </w:p>
          <w:p w:rsidR="004B788F" w:rsidRPr="004B788F" w:rsidRDefault="004B788F" w:rsidP="00070D81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Pt/family will verbalize understanding of medication/insulin regimen</w:t>
            </w:r>
          </w:p>
          <w:p w:rsidR="004B788F" w:rsidRPr="004B788F" w:rsidRDefault="004B788F" w:rsidP="00070D81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Pt/family will verbalize ways to prevent hypoglycemic episodes</w:t>
            </w:r>
          </w:p>
          <w:p w:rsidR="004B788F" w:rsidRPr="00394DCA" w:rsidRDefault="004B788F" w:rsidP="00070D81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Pt/family will be able to verbally state the patients target serum cholesterol and blood pressure levels, and methods used to achieve those targets</w:t>
            </w:r>
          </w:p>
          <w:p w:rsidR="00394DCA" w:rsidRDefault="00394DCA" w:rsidP="00394DCA">
            <w:pPr>
              <w:rPr>
                <w:rFonts w:ascii="Comic Sans MS" w:hAnsi="Comic Sans MS"/>
                <w:b/>
              </w:rPr>
            </w:pPr>
          </w:p>
          <w:p w:rsidR="00394DCA" w:rsidRPr="00394DCA" w:rsidRDefault="00394DCA" w:rsidP="00394DC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~By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DCA" w:rsidRPr="000E6035" w:rsidRDefault="00394DCA" w:rsidP="00394DCA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b/>
              </w:rPr>
            </w:pPr>
            <w:r w:rsidRPr="000E6035">
              <w:rPr>
                <w:rFonts w:ascii="Comic Sans MS" w:hAnsi="Comic Sans MS"/>
                <w:b/>
              </w:rPr>
              <w:lastRenderedPageBreak/>
              <w:t>Monitor vital signs, q4h, at 0700, 1100, 1500, etc.</w:t>
            </w:r>
          </w:p>
          <w:p w:rsidR="00A62014" w:rsidRPr="000E6035" w:rsidRDefault="00394DCA" w:rsidP="00A62014">
            <w:pPr>
              <w:ind w:left="360"/>
              <w:rPr>
                <w:rFonts w:ascii="Comic Sans MS" w:hAnsi="Comic Sans MS"/>
                <w:i/>
                <w:sz w:val="20"/>
                <w:szCs w:val="20"/>
              </w:rPr>
            </w:pPr>
            <w:r w:rsidRPr="000E6035">
              <w:rPr>
                <w:rFonts w:ascii="Arial" w:hAnsi="Arial" w:cs="Arial"/>
                <w:sz w:val="20"/>
                <w:szCs w:val="20"/>
              </w:rPr>
              <w:t>►</w:t>
            </w:r>
            <w:r w:rsidRPr="000E6035">
              <w:rPr>
                <w:rFonts w:ascii="Comic Sans MS" w:hAnsi="Comic Sans MS"/>
                <w:i/>
                <w:sz w:val="20"/>
                <w:szCs w:val="20"/>
              </w:rPr>
              <w:t>To monitor for changes in patients’ status from baseline</w:t>
            </w:r>
          </w:p>
          <w:p w:rsidR="00394DCA" w:rsidRPr="000E6035" w:rsidRDefault="00A62014" w:rsidP="00A62014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b/>
              </w:rPr>
            </w:pPr>
            <w:r w:rsidRPr="000E6035">
              <w:rPr>
                <w:rFonts w:ascii="Comic Sans MS" w:hAnsi="Comic Sans MS"/>
                <w:b/>
              </w:rPr>
              <w:t>Monitor FSBS levels, QID, at 0730, 1130, 1630, 2200, and PRN</w:t>
            </w:r>
          </w:p>
          <w:p w:rsidR="00A62014" w:rsidRPr="000E6035" w:rsidRDefault="00A62014" w:rsidP="00A62014">
            <w:pPr>
              <w:ind w:left="360"/>
              <w:rPr>
                <w:rFonts w:ascii="Comic Sans MS" w:hAnsi="Comic Sans MS" w:cs="Arial"/>
                <w:i/>
                <w:sz w:val="20"/>
                <w:szCs w:val="20"/>
              </w:rPr>
            </w:pPr>
            <w:r w:rsidRPr="000E6035">
              <w:rPr>
                <w:rFonts w:ascii="Arial" w:hAnsi="Arial" w:cs="Arial"/>
                <w:sz w:val="20"/>
                <w:szCs w:val="20"/>
              </w:rPr>
              <w:t>►</w:t>
            </w:r>
            <w:r w:rsidRPr="000E6035">
              <w:rPr>
                <w:rFonts w:ascii="Comic Sans MS" w:hAnsi="Comic Sans MS" w:cs="Arial"/>
                <w:i/>
                <w:sz w:val="20"/>
                <w:szCs w:val="20"/>
              </w:rPr>
              <w:t>To monitor the effectiveness of current treatment plan, and ensure blood glucose levels remain within target levels for patient</w:t>
            </w:r>
          </w:p>
          <w:p w:rsidR="00A62014" w:rsidRPr="000E6035" w:rsidRDefault="00A62014" w:rsidP="00A62014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b/>
              </w:rPr>
            </w:pPr>
            <w:r w:rsidRPr="000E6035">
              <w:rPr>
                <w:rFonts w:ascii="Comic Sans MS" w:hAnsi="Comic Sans MS"/>
                <w:b/>
              </w:rPr>
              <w:t>Assess for S&amp;S of hyper/hypoglycemia, QID, at 0730, 1130, 1630, 2200, and PRN</w:t>
            </w:r>
          </w:p>
          <w:p w:rsidR="00AE411F" w:rsidRPr="000E6035" w:rsidRDefault="00AE411F" w:rsidP="00AE411F">
            <w:pPr>
              <w:ind w:left="360"/>
              <w:rPr>
                <w:rFonts w:ascii="Comic Sans MS" w:hAnsi="Comic Sans MS"/>
                <w:i/>
                <w:sz w:val="20"/>
                <w:szCs w:val="20"/>
              </w:rPr>
            </w:pPr>
            <w:r w:rsidRPr="000E6035">
              <w:rPr>
                <w:rFonts w:ascii="Arial" w:hAnsi="Arial" w:cs="Arial"/>
                <w:sz w:val="20"/>
                <w:szCs w:val="20"/>
              </w:rPr>
              <w:t>►</w:t>
            </w:r>
            <w:r w:rsidRPr="000E6035">
              <w:rPr>
                <w:rFonts w:ascii="Comic Sans MS" w:hAnsi="Comic Sans MS"/>
                <w:i/>
                <w:sz w:val="20"/>
                <w:szCs w:val="20"/>
              </w:rPr>
              <w:t>To ensure blood glucose levels remain within patients’ target range and prevent complications d/t hyper/hypoglycemia</w:t>
            </w:r>
          </w:p>
          <w:p w:rsidR="00782C28" w:rsidRPr="000E6035" w:rsidRDefault="00782C28" w:rsidP="00A62014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b/>
              </w:rPr>
            </w:pPr>
            <w:r w:rsidRPr="000E6035">
              <w:rPr>
                <w:rFonts w:ascii="Comic Sans MS" w:hAnsi="Comic Sans MS"/>
                <w:b/>
              </w:rPr>
              <w:t xml:space="preserve">Administer medications, </w:t>
            </w:r>
            <w:r w:rsidRPr="000E6035">
              <w:rPr>
                <w:rFonts w:ascii="Comic Sans MS" w:hAnsi="Comic Sans MS"/>
                <w:b/>
              </w:rPr>
              <w:lastRenderedPageBreak/>
              <w:t>as prescribed, that are designed to treat T2DM and its’ associated complications</w:t>
            </w:r>
            <w:r w:rsidR="00AE411F" w:rsidRPr="000E6035">
              <w:rPr>
                <w:rFonts w:ascii="Comic Sans MS" w:hAnsi="Comic Sans MS"/>
                <w:b/>
              </w:rPr>
              <w:t>, and provide pt/family teaching on regimen at the time of administration</w:t>
            </w:r>
          </w:p>
          <w:p w:rsidR="00782C28" w:rsidRDefault="00782C28" w:rsidP="00782C28">
            <w:pPr>
              <w:ind w:left="360"/>
              <w:rPr>
                <w:rFonts w:ascii="Comic Sans MS" w:hAnsi="Comic Sans MS"/>
              </w:rPr>
            </w:pPr>
            <w:r>
              <w:rPr>
                <w:rFonts w:ascii="Arial" w:hAnsi="Arial" w:cs="Arial"/>
              </w:rPr>
              <w:t>►</w:t>
            </w:r>
            <w:r>
              <w:rPr>
                <w:rFonts w:ascii="Comic Sans MS" w:hAnsi="Comic Sans MS"/>
              </w:rPr>
              <w:t>Oral hypoglycemic medications</w:t>
            </w:r>
          </w:p>
          <w:p w:rsidR="00D20BCC" w:rsidRPr="00D20BCC" w:rsidRDefault="00D20BCC" w:rsidP="00D33E93">
            <w:pPr>
              <w:ind w:left="360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>
              <w:rPr>
                <w:rFonts w:ascii="Comic Sans MS" w:hAnsi="Comic Sans MS"/>
                <w:b/>
                <w:i/>
                <w:sz w:val="20"/>
                <w:szCs w:val="20"/>
              </w:rPr>
              <w:t>~</w:t>
            </w:r>
            <w:proofErr w:type="spellStart"/>
            <w:r>
              <w:rPr>
                <w:rFonts w:ascii="Comic Sans MS" w:hAnsi="Comic Sans MS"/>
                <w:b/>
                <w:i/>
                <w:sz w:val="20"/>
                <w:szCs w:val="20"/>
              </w:rPr>
              <w:t>sitagliptin</w:t>
            </w:r>
            <w:proofErr w:type="spellEnd"/>
            <w:r>
              <w:rPr>
                <w:rFonts w:ascii="Comic Sans MS" w:hAnsi="Comic Sans MS"/>
                <w:b/>
                <w:i/>
                <w:sz w:val="20"/>
                <w:szCs w:val="20"/>
              </w:rPr>
              <w:t xml:space="preserve"> phosphate (</w:t>
            </w:r>
            <w:proofErr w:type="spellStart"/>
            <w:r>
              <w:rPr>
                <w:rFonts w:ascii="Comic Sans MS" w:hAnsi="Comic Sans MS"/>
                <w:b/>
                <w:i/>
                <w:sz w:val="20"/>
                <w:szCs w:val="20"/>
              </w:rPr>
              <w:t>Januvia</w:t>
            </w:r>
            <w:proofErr w:type="spellEnd"/>
            <w:r>
              <w:rPr>
                <w:rFonts w:ascii="Comic Sans MS" w:hAnsi="Comic Sans MS"/>
                <w:b/>
                <w:i/>
                <w:sz w:val="20"/>
                <w:szCs w:val="20"/>
              </w:rPr>
              <w:t>), 180mg, QAM, at 0900, PO</w:t>
            </w:r>
            <w:r w:rsidR="00D33E93">
              <w:rPr>
                <w:rFonts w:ascii="Comic Sans MS" w:hAnsi="Comic Sans MS"/>
                <w:b/>
                <w:i/>
                <w:sz w:val="20"/>
                <w:szCs w:val="20"/>
              </w:rPr>
              <w:t xml:space="preserve">; to improve </w:t>
            </w:r>
            <w:proofErr w:type="spellStart"/>
            <w:r w:rsidR="00D33E93">
              <w:rPr>
                <w:rFonts w:ascii="Comic Sans MS" w:hAnsi="Comic Sans MS"/>
                <w:b/>
                <w:i/>
                <w:sz w:val="20"/>
                <w:szCs w:val="20"/>
              </w:rPr>
              <w:t>glycemic</w:t>
            </w:r>
            <w:proofErr w:type="spellEnd"/>
            <w:r w:rsidR="00D33E93">
              <w:rPr>
                <w:rFonts w:ascii="Comic Sans MS" w:hAnsi="Comic Sans MS"/>
                <w:b/>
                <w:i/>
                <w:sz w:val="20"/>
                <w:szCs w:val="20"/>
              </w:rPr>
              <w:t xml:space="preserve"> control in T2DM                        </w:t>
            </w:r>
          </w:p>
          <w:p w:rsidR="00782C28" w:rsidRDefault="00782C28" w:rsidP="00782C28">
            <w:pPr>
              <w:ind w:left="360"/>
              <w:rPr>
                <w:rFonts w:ascii="Comic Sans MS" w:hAnsi="Comic Sans MS"/>
              </w:rPr>
            </w:pPr>
            <w:r>
              <w:rPr>
                <w:rFonts w:ascii="Arial" w:hAnsi="Arial" w:cs="Arial"/>
              </w:rPr>
              <w:t>►</w:t>
            </w:r>
            <w:r>
              <w:rPr>
                <w:rFonts w:ascii="Comic Sans MS" w:hAnsi="Comic Sans MS"/>
              </w:rPr>
              <w:t>Insulin</w:t>
            </w:r>
          </w:p>
          <w:p w:rsidR="00D20BCC" w:rsidRDefault="00D20BCC" w:rsidP="00782C28">
            <w:pPr>
              <w:ind w:left="360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D20BCC">
              <w:rPr>
                <w:rFonts w:ascii="Comic Sans MS" w:hAnsi="Comic Sans MS"/>
                <w:b/>
                <w:i/>
                <w:sz w:val="20"/>
                <w:szCs w:val="20"/>
              </w:rPr>
              <w:t xml:space="preserve">~insulin </w:t>
            </w:r>
            <w:proofErr w:type="spellStart"/>
            <w:r w:rsidRPr="00D20BCC">
              <w:rPr>
                <w:rFonts w:ascii="Comic Sans MS" w:hAnsi="Comic Sans MS"/>
                <w:b/>
                <w:i/>
                <w:sz w:val="20"/>
                <w:szCs w:val="20"/>
              </w:rPr>
              <w:t>glargine</w:t>
            </w:r>
            <w:proofErr w:type="spellEnd"/>
            <w:r w:rsidRPr="00D20BCC">
              <w:rPr>
                <w:rFonts w:ascii="Comic Sans MS" w:hAnsi="Comic Sans MS"/>
                <w:b/>
                <w:i/>
                <w:sz w:val="20"/>
                <w:szCs w:val="20"/>
              </w:rPr>
              <w:t xml:space="preserve"> (</w:t>
            </w:r>
            <w:proofErr w:type="spellStart"/>
            <w:r w:rsidRPr="00D20BCC">
              <w:rPr>
                <w:rFonts w:ascii="Comic Sans MS" w:hAnsi="Comic Sans MS"/>
                <w:b/>
                <w:i/>
                <w:sz w:val="20"/>
                <w:szCs w:val="20"/>
              </w:rPr>
              <w:t>Lantus</w:t>
            </w:r>
            <w:proofErr w:type="spellEnd"/>
            <w:r w:rsidRPr="00D20BCC">
              <w:rPr>
                <w:rFonts w:ascii="Comic Sans MS" w:hAnsi="Comic Sans MS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0BCC">
              <w:rPr>
                <w:rFonts w:ascii="Comic Sans MS" w:hAnsi="Comic Sans MS"/>
                <w:b/>
                <w:i/>
                <w:sz w:val="20"/>
                <w:szCs w:val="20"/>
              </w:rPr>
              <w:t>Solostar</w:t>
            </w:r>
            <w:proofErr w:type="spellEnd"/>
            <w:r w:rsidRPr="00D20BCC">
              <w:rPr>
                <w:rFonts w:ascii="Comic Sans MS" w:hAnsi="Comic Sans MS"/>
                <w:b/>
                <w:i/>
                <w:sz w:val="20"/>
                <w:szCs w:val="20"/>
              </w:rPr>
              <w:t xml:space="preserve">), 15 units, BIDAC, at 0730, 1630, 2200, </w:t>
            </w:r>
            <w:proofErr w:type="spellStart"/>
            <w:r w:rsidRPr="00D20BCC">
              <w:rPr>
                <w:rFonts w:ascii="Comic Sans MS" w:hAnsi="Comic Sans MS"/>
                <w:b/>
                <w:i/>
                <w:sz w:val="20"/>
                <w:szCs w:val="20"/>
              </w:rPr>
              <w:t>SubQ</w:t>
            </w:r>
            <w:proofErr w:type="spellEnd"/>
          </w:p>
          <w:p w:rsidR="00D20BCC" w:rsidRPr="00D20BCC" w:rsidRDefault="00D20BCC" w:rsidP="00782C28">
            <w:pPr>
              <w:ind w:left="360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>
              <w:rPr>
                <w:rFonts w:ascii="Comic Sans MS" w:hAnsi="Comic Sans MS"/>
                <w:b/>
                <w:i/>
                <w:sz w:val="20"/>
                <w:szCs w:val="20"/>
              </w:rPr>
              <w:t xml:space="preserve">~insulin </w:t>
            </w:r>
            <w:proofErr w:type="spellStart"/>
            <w:r>
              <w:rPr>
                <w:rFonts w:ascii="Comic Sans MS" w:hAnsi="Comic Sans MS"/>
                <w:b/>
                <w:i/>
                <w:sz w:val="20"/>
                <w:szCs w:val="20"/>
              </w:rPr>
              <w:t>glulisine</w:t>
            </w:r>
            <w:proofErr w:type="spellEnd"/>
            <w:r>
              <w:rPr>
                <w:rFonts w:ascii="Comic Sans MS" w:hAnsi="Comic Sans MS"/>
                <w:b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mic Sans MS" w:hAnsi="Comic Sans MS"/>
                <w:b/>
                <w:i/>
                <w:sz w:val="20"/>
                <w:szCs w:val="20"/>
              </w:rPr>
              <w:t>Apidra</w:t>
            </w:r>
            <w:proofErr w:type="spellEnd"/>
            <w:r>
              <w:rPr>
                <w:rFonts w:ascii="Comic Sans MS" w:hAnsi="Comic Sans MS"/>
                <w:b/>
                <w:i/>
                <w:sz w:val="20"/>
                <w:szCs w:val="20"/>
              </w:rPr>
              <w:t xml:space="preserve">), 1 unit/7 CHO, TIDAC, at 0730, 1130, 1630; 1 unit/10 CHO, HS,  at 2200, </w:t>
            </w:r>
            <w:proofErr w:type="spellStart"/>
            <w:r>
              <w:rPr>
                <w:rFonts w:ascii="Comic Sans MS" w:hAnsi="Comic Sans MS"/>
                <w:b/>
                <w:i/>
                <w:sz w:val="20"/>
                <w:szCs w:val="20"/>
              </w:rPr>
              <w:t>SubQ</w:t>
            </w:r>
            <w:proofErr w:type="spellEnd"/>
            <w:r w:rsidR="00D33E93">
              <w:rPr>
                <w:rFonts w:ascii="Comic Sans MS" w:hAnsi="Comic Sans MS"/>
                <w:b/>
                <w:i/>
                <w:sz w:val="20"/>
                <w:szCs w:val="20"/>
              </w:rPr>
              <w:t>; to control hyperglycemia in pt with T2DM</w:t>
            </w:r>
          </w:p>
          <w:p w:rsidR="00782C28" w:rsidRDefault="00782C28" w:rsidP="00782C28">
            <w:pPr>
              <w:ind w:left="360"/>
              <w:rPr>
                <w:rFonts w:ascii="Comic Sans MS" w:hAnsi="Comic Sans MS"/>
              </w:rPr>
            </w:pPr>
            <w:r>
              <w:rPr>
                <w:rFonts w:ascii="Arial" w:hAnsi="Arial" w:cs="Arial"/>
              </w:rPr>
              <w:t>►</w:t>
            </w:r>
            <w:r>
              <w:rPr>
                <w:rFonts w:ascii="Comic Sans MS" w:hAnsi="Comic Sans MS"/>
              </w:rPr>
              <w:t>Anti-hypertensive drugs</w:t>
            </w:r>
          </w:p>
          <w:p w:rsidR="00D20BCC" w:rsidRPr="00D20BCC" w:rsidRDefault="00D20BCC" w:rsidP="00782C28">
            <w:pPr>
              <w:ind w:left="360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>
              <w:rPr>
                <w:rFonts w:ascii="Comic Sans MS" w:hAnsi="Comic Sans MS"/>
                <w:b/>
                <w:i/>
                <w:sz w:val="20"/>
                <w:szCs w:val="20"/>
              </w:rPr>
              <w:t>~</w:t>
            </w:r>
            <w:proofErr w:type="spellStart"/>
            <w:r>
              <w:rPr>
                <w:rFonts w:ascii="Comic Sans MS" w:hAnsi="Comic Sans MS"/>
                <w:b/>
                <w:i/>
                <w:sz w:val="20"/>
                <w:szCs w:val="20"/>
              </w:rPr>
              <w:t>lisinopril</w:t>
            </w:r>
            <w:proofErr w:type="spellEnd"/>
            <w:r>
              <w:rPr>
                <w:rFonts w:ascii="Comic Sans MS" w:hAnsi="Comic Sans MS"/>
                <w:b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mic Sans MS" w:hAnsi="Comic Sans MS"/>
                <w:b/>
                <w:i/>
                <w:sz w:val="20"/>
                <w:szCs w:val="20"/>
              </w:rPr>
              <w:t>Prinivil</w:t>
            </w:r>
            <w:proofErr w:type="spellEnd"/>
            <w:r>
              <w:rPr>
                <w:rFonts w:ascii="Comic Sans MS" w:hAnsi="Comic Sans MS"/>
                <w:b/>
                <w:i/>
                <w:sz w:val="20"/>
                <w:szCs w:val="20"/>
              </w:rPr>
              <w:t>), 10mg, Daily, at 0900, PO</w:t>
            </w:r>
            <w:r w:rsidR="00D33E93">
              <w:rPr>
                <w:rFonts w:ascii="Comic Sans MS" w:hAnsi="Comic Sans MS"/>
                <w:b/>
                <w:i/>
                <w:sz w:val="20"/>
                <w:szCs w:val="20"/>
              </w:rPr>
              <w:t>; to manage HTN</w:t>
            </w:r>
          </w:p>
          <w:p w:rsidR="00782C28" w:rsidRPr="00D20BCC" w:rsidRDefault="00782C28" w:rsidP="00782C28">
            <w:pPr>
              <w:ind w:left="360"/>
              <w:rPr>
                <w:rFonts w:ascii="Comic Sans MS" w:hAnsi="Comic Sans MS" w:cs="Arial"/>
              </w:rPr>
            </w:pPr>
            <w:r>
              <w:rPr>
                <w:rFonts w:ascii="Arial" w:hAnsi="Arial" w:cs="Arial"/>
              </w:rPr>
              <w:t>►</w:t>
            </w:r>
            <w:r w:rsidR="00D20BCC" w:rsidRPr="00D20BCC">
              <w:rPr>
                <w:rFonts w:ascii="Comic Sans MS" w:hAnsi="Comic Sans MS" w:cs="Arial"/>
              </w:rPr>
              <w:t>Cholesterol lowering drugs</w:t>
            </w:r>
          </w:p>
          <w:p w:rsidR="00D33E93" w:rsidRDefault="00D20BCC" w:rsidP="00D33E93">
            <w:pPr>
              <w:ind w:left="360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i/>
                <w:sz w:val="20"/>
                <w:szCs w:val="20"/>
              </w:rPr>
              <w:t>~</w:t>
            </w:r>
            <w:proofErr w:type="spellStart"/>
            <w:r>
              <w:rPr>
                <w:rFonts w:ascii="Comic Sans MS" w:hAnsi="Comic Sans MS" w:cs="Arial"/>
                <w:b/>
                <w:i/>
                <w:sz w:val="20"/>
                <w:szCs w:val="20"/>
              </w:rPr>
              <w:t>simvastatin</w:t>
            </w:r>
            <w:proofErr w:type="spellEnd"/>
            <w:r>
              <w:rPr>
                <w:rFonts w:ascii="Comic Sans MS" w:hAnsi="Comic Sans MS" w:cs="Arial"/>
                <w:b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mic Sans MS" w:hAnsi="Comic Sans MS" w:cs="Arial"/>
                <w:b/>
                <w:i/>
                <w:sz w:val="20"/>
                <w:szCs w:val="20"/>
              </w:rPr>
              <w:t>Zocor</w:t>
            </w:r>
            <w:proofErr w:type="spellEnd"/>
            <w:r>
              <w:rPr>
                <w:rFonts w:ascii="Comic Sans MS" w:hAnsi="Comic Sans MS" w:cs="Arial"/>
                <w:b/>
                <w:i/>
                <w:sz w:val="20"/>
                <w:szCs w:val="20"/>
              </w:rPr>
              <w:t>), 20mg, HS, at 2200, PO</w:t>
            </w:r>
            <w:r w:rsidR="00D33E93">
              <w:rPr>
                <w:rFonts w:ascii="Comic Sans MS" w:hAnsi="Comic Sans MS" w:cs="Arial"/>
                <w:b/>
                <w:i/>
                <w:sz w:val="20"/>
                <w:szCs w:val="20"/>
              </w:rPr>
              <w:t>; for management of hypercholesterolemia</w:t>
            </w:r>
          </w:p>
          <w:p w:rsidR="00D33E93" w:rsidRPr="000E6035" w:rsidRDefault="00D33E93" w:rsidP="00D33E9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b/>
              </w:rPr>
            </w:pPr>
            <w:r w:rsidRPr="000E6035">
              <w:rPr>
                <w:rFonts w:ascii="Comic Sans MS" w:hAnsi="Comic Sans MS"/>
                <w:b/>
              </w:rPr>
              <w:t>Instruct pt/family to prepare and administer insulin with accuracy</w:t>
            </w:r>
            <w:r w:rsidR="00AE411F" w:rsidRPr="000E6035">
              <w:rPr>
                <w:rFonts w:ascii="Comic Sans MS" w:hAnsi="Comic Sans MS"/>
                <w:b/>
              </w:rPr>
              <w:t xml:space="preserve"> (injection procedures, rotation of injection within 1 anatomical site, insulin storage, mixing of insulin), QID, at 0730, 1130, 1630, and 2200</w:t>
            </w:r>
          </w:p>
          <w:p w:rsidR="00AE411F" w:rsidRPr="000E6035" w:rsidRDefault="00AE411F" w:rsidP="00AE411F">
            <w:pPr>
              <w:ind w:left="360"/>
              <w:rPr>
                <w:rFonts w:ascii="Comic Sans MS" w:hAnsi="Comic Sans MS"/>
                <w:i/>
                <w:sz w:val="20"/>
                <w:szCs w:val="20"/>
              </w:rPr>
            </w:pPr>
            <w:r w:rsidRPr="000E6035">
              <w:rPr>
                <w:rFonts w:ascii="Arial" w:hAnsi="Arial" w:cs="Arial"/>
                <w:sz w:val="20"/>
                <w:szCs w:val="20"/>
              </w:rPr>
              <w:t>►</w:t>
            </w:r>
            <w:r w:rsidRPr="000E6035">
              <w:rPr>
                <w:rFonts w:ascii="Comic Sans MS" w:hAnsi="Comic Sans MS"/>
                <w:i/>
                <w:sz w:val="20"/>
                <w:szCs w:val="20"/>
              </w:rPr>
              <w:t>To prevent inconsistencies in technique which can result in unstable blood glucose levels</w:t>
            </w:r>
          </w:p>
          <w:p w:rsidR="00A62014" w:rsidRDefault="00A62014" w:rsidP="00A62014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Consult registered dietitian for an individualized diet plan and education</w:t>
            </w:r>
            <w:r w:rsidR="00AE411F">
              <w:rPr>
                <w:rFonts w:ascii="Comic Sans MS" w:hAnsi="Comic Sans MS"/>
              </w:rPr>
              <w:t>, Daily, at 1400</w:t>
            </w:r>
          </w:p>
          <w:p w:rsidR="00AE411F" w:rsidRPr="000E6035" w:rsidRDefault="00AE411F" w:rsidP="00AE411F">
            <w:pPr>
              <w:ind w:left="360"/>
              <w:rPr>
                <w:rFonts w:ascii="Comic Sans MS" w:hAnsi="Comic Sans MS"/>
                <w:i/>
                <w:sz w:val="20"/>
                <w:szCs w:val="20"/>
              </w:rPr>
            </w:pPr>
            <w:r w:rsidRPr="000E6035">
              <w:rPr>
                <w:rFonts w:ascii="Arial" w:hAnsi="Arial" w:cs="Arial"/>
                <w:sz w:val="20"/>
                <w:szCs w:val="20"/>
              </w:rPr>
              <w:t>►</w:t>
            </w:r>
            <w:r w:rsidRPr="000E6035">
              <w:rPr>
                <w:rFonts w:ascii="Comic Sans MS" w:hAnsi="Comic Sans MS"/>
                <w:i/>
                <w:sz w:val="20"/>
                <w:szCs w:val="20"/>
              </w:rPr>
              <w:t>To ensure pt/family understand importance of dietary intake in control of T2DM</w:t>
            </w:r>
          </w:p>
          <w:p w:rsidR="006D6DD0" w:rsidRPr="000E6035" w:rsidRDefault="006D6DD0" w:rsidP="00A62014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b/>
              </w:rPr>
            </w:pPr>
            <w:r w:rsidRPr="000E6035">
              <w:rPr>
                <w:rFonts w:ascii="Comic Sans MS" w:hAnsi="Comic Sans MS"/>
                <w:b/>
              </w:rPr>
              <w:t>Review current dietary goals with pt/family: normalize blood glucose and lipid values, improve eating habits, restrict caloric intake, achieve moderate weight loss, maintain consistent CHO intake at meals and snacks, and decrease fat intake</w:t>
            </w:r>
            <w:r w:rsidR="00AE411F" w:rsidRPr="000E6035">
              <w:rPr>
                <w:rFonts w:ascii="Comic Sans MS" w:hAnsi="Comic Sans MS"/>
                <w:b/>
              </w:rPr>
              <w:t>, BID, at 0730, 1630, and PRN</w:t>
            </w:r>
          </w:p>
          <w:p w:rsidR="00AE411F" w:rsidRPr="000E6035" w:rsidRDefault="00AE411F" w:rsidP="00AE411F">
            <w:pPr>
              <w:ind w:left="360"/>
              <w:rPr>
                <w:rFonts w:ascii="Comic Sans MS" w:hAnsi="Comic Sans MS"/>
                <w:i/>
                <w:sz w:val="20"/>
                <w:szCs w:val="20"/>
              </w:rPr>
            </w:pPr>
            <w:r w:rsidRPr="000E6035">
              <w:rPr>
                <w:rFonts w:ascii="Arial" w:hAnsi="Arial" w:cs="Arial"/>
                <w:sz w:val="20"/>
                <w:szCs w:val="20"/>
              </w:rPr>
              <w:t>►</w:t>
            </w:r>
            <w:r w:rsidRPr="000E6035">
              <w:rPr>
                <w:rFonts w:ascii="Comic Sans MS" w:hAnsi="Comic Sans MS"/>
                <w:i/>
                <w:sz w:val="20"/>
                <w:szCs w:val="20"/>
              </w:rPr>
              <w:t>To ensure that pt/caretakers have a good understanding of nutritional mgmt. of T2DM</w:t>
            </w:r>
          </w:p>
          <w:p w:rsidR="00A62014" w:rsidRPr="000E6035" w:rsidRDefault="00782C28" w:rsidP="00A62014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b/>
              </w:rPr>
            </w:pPr>
            <w:r w:rsidRPr="000E6035">
              <w:rPr>
                <w:rFonts w:ascii="Comic Sans MS" w:hAnsi="Comic Sans MS"/>
                <w:b/>
              </w:rPr>
              <w:t>Ensure pt/family has knowledge about symptoms, causes, treatment, and prevention of hyperglycemia</w:t>
            </w:r>
            <w:r w:rsidR="00FB7FE0" w:rsidRPr="000E6035">
              <w:rPr>
                <w:rFonts w:ascii="Comic Sans MS" w:hAnsi="Comic Sans MS"/>
                <w:b/>
              </w:rPr>
              <w:t>, TID, at 0900, 1300, 1800, and PRN</w:t>
            </w:r>
          </w:p>
          <w:p w:rsidR="00FB7FE0" w:rsidRPr="000E6035" w:rsidRDefault="00FB7FE0" w:rsidP="00FB7FE0">
            <w:pPr>
              <w:ind w:left="360"/>
              <w:rPr>
                <w:rFonts w:ascii="Comic Sans MS" w:hAnsi="Comic Sans MS"/>
                <w:i/>
                <w:sz w:val="20"/>
                <w:szCs w:val="20"/>
              </w:rPr>
            </w:pPr>
            <w:r w:rsidRPr="000E6035">
              <w:rPr>
                <w:rFonts w:ascii="Arial" w:hAnsi="Arial" w:cs="Arial"/>
                <w:sz w:val="20"/>
                <w:szCs w:val="20"/>
              </w:rPr>
              <w:t>►</w:t>
            </w:r>
            <w:r w:rsidRPr="000E6035">
              <w:rPr>
                <w:rFonts w:ascii="Comic Sans MS" w:hAnsi="Comic Sans MS" w:cs="Arial"/>
                <w:i/>
                <w:sz w:val="20"/>
                <w:szCs w:val="20"/>
              </w:rPr>
              <w:t xml:space="preserve">Consistently </w:t>
            </w:r>
            <w:r w:rsidRPr="000E6035">
              <w:rPr>
                <w:rFonts w:ascii="Franklin Gothic Book" w:hAnsi="Franklin Gothic Book" w:cs="Arial"/>
                <w:i/>
                <w:sz w:val="20"/>
                <w:szCs w:val="20"/>
              </w:rPr>
              <w:t>↑</w:t>
            </w:r>
            <w:r w:rsidRPr="000E6035">
              <w:rPr>
                <w:rFonts w:ascii="Comic Sans MS" w:hAnsi="Comic Sans MS" w:cs="Arial"/>
                <w:i/>
                <w:sz w:val="20"/>
                <w:szCs w:val="20"/>
              </w:rPr>
              <w:t xml:space="preserve"> glucose levels indicate the need for evaluation of disease mgmt.</w:t>
            </w:r>
          </w:p>
          <w:p w:rsidR="00782C28" w:rsidRPr="000E6035" w:rsidRDefault="00782C28" w:rsidP="00A62014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b/>
              </w:rPr>
            </w:pPr>
            <w:r w:rsidRPr="000E6035">
              <w:rPr>
                <w:rFonts w:ascii="Comic Sans MS" w:hAnsi="Comic Sans MS"/>
                <w:b/>
              </w:rPr>
              <w:t>Ensure pt/family has knowledge about symptoms, causes, treatment, and prevention of hypoglycemia</w:t>
            </w:r>
            <w:r w:rsidR="00FB7FE0" w:rsidRPr="000E6035">
              <w:rPr>
                <w:rFonts w:ascii="Comic Sans MS" w:hAnsi="Comic Sans MS"/>
                <w:b/>
              </w:rPr>
              <w:t>, TID, at 0730, 1130, 1630, and PRN</w:t>
            </w:r>
          </w:p>
          <w:p w:rsidR="00FB7FE0" w:rsidRPr="000E6035" w:rsidRDefault="00FB7FE0" w:rsidP="00FB7FE0">
            <w:pPr>
              <w:ind w:left="360"/>
              <w:rPr>
                <w:rFonts w:ascii="Comic Sans MS" w:hAnsi="Comic Sans MS"/>
                <w:i/>
                <w:sz w:val="20"/>
                <w:szCs w:val="20"/>
              </w:rPr>
            </w:pPr>
            <w:r w:rsidRPr="000E6035">
              <w:rPr>
                <w:rFonts w:ascii="Arial" w:hAnsi="Arial" w:cs="Arial"/>
                <w:i/>
                <w:sz w:val="20"/>
                <w:szCs w:val="20"/>
              </w:rPr>
              <w:t>►</w:t>
            </w:r>
            <w:r w:rsidRPr="000E6035">
              <w:rPr>
                <w:rFonts w:ascii="Comic Sans MS" w:hAnsi="Comic Sans MS"/>
                <w:i/>
                <w:sz w:val="20"/>
                <w:szCs w:val="20"/>
              </w:rPr>
              <w:t>Frequent hypoglycemic episodes indicate the need for changes in DM mgmt. plan, and require immediate attention when they do occur</w:t>
            </w:r>
          </w:p>
          <w:p w:rsidR="00782C28" w:rsidRPr="000E6035" w:rsidRDefault="000E6035" w:rsidP="000E6035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b/>
              </w:rPr>
            </w:pPr>
            <w:r w:rsidRPr="000E6035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782C28" w:rsidRPr="000E6035">
              <w:rPr>
                <w:rFonts w:ascii="Comic Sans MS" w:hAnsi="Comic Sans MS"/>
                <w:b/>
              </w:rPr>
              <w:t>Instruct pt/family on correct way to use home meter to monitor FSBS and keep a daily log of results</w:t>
            </w:r>
            <w:r w:rsidR="00FB7FE0" w:rsidRPr="000E6035">
              <w:rPr>
                <w:rFonts w:ascii="Comic Sans MS" w:hAnsi="Comic Sans MS"/>
                <w:b/>
              </w:rPr>
              <w:t>, QID, at 0730, 1130, 1630, 2200, and PRN</w:t>
            </w:r>
          </w:p>
          <w:p w:rsidR="00FB7FE0" w:rsidRPr="000E6035" w:rsidRDefault="00FB7FE0" w:rsidP="00FB7FE0">
            <w:pPr>
              <w:ind w:left="360"/>
              <w:rPr>
                <w:rFonts w:ascii="Comic Sans MS" w:hAnsi="Comic Sans MS"/>
                <w:i/>
                <w:sz w:val="20"/>
                <w:szCs w:val="20"/>
              </w:rPr>
            </w:pPr>
            <w:r w:rsidRPr="000E6035">
              <w:rPr>
                <w:rFonts w:ascii="Arial" w:hAnsi="Arial" w:cs="Arial"/>
                <w:i/>
                <w:sz w:val="20"/>
                <w:szCs w:val="20"/>
              </w:rPr>
              <w:t>►</w:t>
            </w:r>
            <w:r w:rsidRPr="000E6035">
              <w:rPr>
                <w:rFonts w:ascii="Comic Sans MS" w:hAnsi="Comic Sans MS"/>
                <w:i/>
                <w:sz w:val="20"/>
                <w:szCs w:val="20"/>
              </w:rPr>
              <w:t>To ensure pt/family have knowledge and tools in order to effectively monitor and track patients’ blood sugar levels in home setting</w:t>
            </w:r>
          </w:p>
          <w:p w:rsidR="00782C28" w:rsidRPr="000E6035" w:rsidRDefault="00782C28" w:rsidP="00A62014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b/>
              </w:rPr>
            </w:pPr>
            <w:r w:rsidRPr="000E6035">
              <w:rPr>
                <w:rFonts w:ascii="Comic Sans MS" w:hAnsi="Comic Sans MS"/>
                <w:b/>
              </w:rPr>
              <w:t>Refer pt/family to social services for help with financial resources</w:t>
            </w:r>
            <w:r w:rsidR="00FB7FE0" w:rsidRPr="000E6035">
              <w:rPr>
                <w:rFonts w:ascii="Comic Sans MS" w:hAnsi="Comic Sans MS"/>
                <w:b/>
              </w:rPr>
              <w:t>, 1 time, prior to discharge</w:t>
            </w:r>
          </w:p>
          <w:p w:rsidR="00FB7FE0" w:rsidRPr="000E6035" w:rsidRDefault="00FB7FE0" w:rsidP="00FB7FE0">
            <w:pPr>
              <w:ind w:left="360"/>
              <w:rPr>
                <w:rFonts w:ascii="Comic Sans MS" w:hAnsi="Comic Sans MS"/>
                <w:i/>
                <w:sz w:val="20"/>
                <w:szCs w:val="20"/>
              </w:rPr>
            </w:pPr>
            <w:r w:rsidRPr="000E6035">
              <w:rPr>
                <w:rFonts w:ascii="Arial" w:hAnsi="Arial" w:cs="Arial"/>
                <w:i/>
                <w:sz w:val="20"/>
                <w:szCs w:val="20"/>
              </w:rPr>
              <w:t>►</w:t>
            </w:r>
            <w:r w:rsidRPr="000E6035">
              <w:rPr>
                <w:rFonts w:ascii="Comic Sans MS" w:hAnsi="Comic Sans MS"/>
                <w:i/>
                <w:sz w:val="20"/>
                <w:szCs w:val="20"/>
              </w:rPr>
              <w:t>To ensure patient is able to obtain the medications, monitor, and monitoring supplies needed to effectively manage her disease</w:t>
            </w:r>
          </w:p>
          <w:p w:rsidR="00F21EAC" w:rsidRPr="000E6035" w:rsidRDefault="00F21EAC" w:rsidP="00A62014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b/>
              </w:rPr>
            </w:pPr>
            <w:r w:rsidRPr="000E6035">
              <w:rPr>
                <w:rFonts w:ascii="Comic Sans MS" w:hAnsi="Comic Sans MS"/>
                <w:b/>
              </w:rPr>
              <w:t xml:space="preserve">Consult </w:t>
            </w:r>
            <w:r w:rsidR="00FB7FE0" w:rsidRPr="000E6035">
              <w:rPr>
                <w:rFonts w:ascii="Comic Sans MS" w:hAnsi="Comic Sans MS"/>
                <w:b/>
              </w:rPr>
              <w:t xml:space="preserve">with </w:t>
            </w:r>
            <w:r w:rsidRPr="000E6035">
              <w:rPr>
                <w:rFonts w:ascii="Comic Sans MS" w:hAnsi="Comic Sans MS"/>
                <w:b/>
              </w:rPr>
              <w:t>PT/OT to educate pt/family on exercises that the pt can do, in consideration of her current physical state</w:t>
            </w:r>
            <w:r w:rsidR="00FB7FE0" w:rsidRPr="000E6035">
              <w:rPr>
                <w:rFonts w:ascii="Comic Sans MS" w:hAnsi="Comic Sans MS"/>
                <w:b/>
              </w:rPr>
              <w:t>, Daily, at 1000</w:t>
            </w:r>
          </w:p>
          <w:p w:rsidR="00FB7FE0" w:rsidRPr="000E6035" w:rsidRDefault="00FB7FE0" w:rsidP="00FB7FE0">
            <w:pPr>
              <w:ind w:left="360"/>
              <w:rPr>
                <w:rFonts w:ascii="Comic Sans MS" w:hAnsi="Comic Sans MS"/>
                <w:i/>
                <w:sz w:val="20"/>
                <w:szCs w:val="20"/>
              </w:rPr>
            </w:pPr>
            <w:r w:rsidRPr="000E6035">
              <w:rPr>
                <w:rFonts w:ascii="Arial" w:hAnsi="Arial" w:cs="Arial"/>
                <w:i/>
                <w:sz w:val="20"/>
                <w:szCs w:val="20"/>
              </w:rPr>
              <w:t>►</w:t>
            </w:r>
            <w:r w:rsidRPr="000E6035">
              <w:rPr>
                <w:rFonts w:ascii="Comic Sans MS" w:hAnsi="Comic Sans MS"/>
                <w:i/>
                <w:sz w:val="20"/>
                <w:szCs w:val="20"/>
              </w:rPr>
              <w:t>To improve glucose level patterns and promote weight loss, and to ensure pt knows how to work around her physical disability (blindness)</w:t>
            </w:r>
          </w:p>
          <w:p w:rsidR="00782C28" w:rsidRPr="000E6035" w:rsidRDefault="00D33E93" w:rsidP="00A62014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b/>
              </w:rPr>
            </w:pPr>
            <w:r w:rsidRPr="000E6035">
              <w:rPr>
                <w:rFonts w:ascii="Comic Sans MS" w:hAnsi="Comic Sans MS"/>
                <w:b/>
              </w:rPr>
              <w:t>Instruct pt/family in DM management during illness</w:t>
            </w:r>
            <w:r w:rsidR="00FB7FE0" w:rsidRPr="000E6035">
              <w:rPr>
                <w:rFonts w:ascii="Comic Sans MS" w:hAnsi="Comic Sans MS"/>
                <w:b/>
              </w:rPr>
              <w:t>, Daily, at 0900 (when administering antibiotics)</w:t>
            </w:r>
          </w:p>
          <w:p w:rsidR="00D33E93" w:rsidRPr="000E6035" w:rsidRDefault="00D33E93" w:rsidP="00D33E93">
            <w:pPr>
              <w:ind w:left="360"/>
              <w:rPr>
                <w:rFonts w:ascii="Comic Sans MS" w:hAnsi="Comic Sans MS"/>
                <w:b/>
              </w:rPr>
            </w:pPr>
            <w:r w:rsidRPr="000E6035">
              <w:rPr>
                <w:rFonts w:ascii="Comic Sans MS" w:hAnsi="Comic Sans MS"/>
                <w:b/>
              </w:rPr>
              <w:t>~Cont. to take all medications</w:t>
            </w:r>
          </w:p>
          <w:p w:rsidR="00D33E93" w:rsidRPr="000E6035" w:rsidRDefault="00D33E93" w:rsidP="00D33E93">
            <w:pPr>
              <w:ind w:left="360"/>
              <w:rPr>
                <w:rFonts w:ascii="Comic Sans MS" w:hAnsi="Comic Sans MS"/>
                <w:b/>
              </w:rPr>
            </w:pPr>
            <w:r w:rsidRPr="000E6035">
              <w:rPr>
                <w:rFonts w:ascii="Comic Sans MS" w:hAnsi="Comic Sans MS"/>
                <w:b/>
              </w:rPr>
              <w:t>~FSBS every 2-4 hours</w:t>
            </w:r>
          </w:p>
          <w:p w:rsidR="00D33E93" w:rsidRPr="000E6035" w:rsidRDefault="00D33E93" w:rsidP="00D33E93">
            <w:pPr>
              <w:ind w:left="360"/>
              <w:rPr>
                <w:rFonts w:ascii="Comic Sans MS" w:hAnsi="Comic Sans MS"/>
                <w:b/>
              </w:rPr>
            </w:pPr>
            <w:r w:rsidRPr="000E6035">
              <w:rPr>
                <w:rFonts w:ascii="Comic Sans MS" w:hAnsi="Comic Sans MS"/>
                <w:b/>
              </w:rPr>
              <w:t xml:space="preserve">~Test urine for </w:t>
            </w:r>
            <w:proofErr w:type="spellStart"/>
            <w:r w:rsidRPr="000E6035">
              <w:rPr>
                <w:rFonts w:ascii="Comic Sans MS" w:hAnsi="Comic Sans MS"/>
                <w:b/>
              </w:rPr>
              <w:t>ketones</w:t>
            </w:r>
            <w:proofErr w:type="spellEnd"/>
            <w:r w:rsidRPr="000E6035">
              <w:rPr>
                <w:rFonts w:ascii="Comic Sans MS" w:hAnsi="Comic Sans MS"/>
                <w:b/>
              </w:rPr>
              <w:t xml:space="preserve"> every 3-4 hours for FSBS consistently &gt;300mg/dL</w:t>
            </w:r>
          </w:p>
          <w:p w:rsidR="00D33E93" w:rsidRPr="000E6035" w:rsidRDefault="00D33E93" w:rsidP="00D33E93">
            <w:pPr>
              <w:ind w:left="360"/>
              <w:rPr>
                <w:rFonts w:ascii="Comic Sans MS" w:hAnsi="Comic Sans MS"/>
                <w:b/>
              </w:rPr>
            </w:pPr>
            <w:r w:rsidRPr="000E6035">
              <w:rPr>
                <w:rFonts w:ascii="Comic Sans MS" w:hAnsi="Comic Sans MS"/>
                <w:b/>
              </w:rPr>
              <w:t>~Drink 8 ounces of sugar free flu</w:t>
            </w:r>
            <w:r w:rsidR="00285E08" w:rsidRPr="000E6035">
              <w:rPr>
                <w:rFonts w:ascii="Comic Sans MS" w:hAnsi="Comic Sans MS"/>
                <w:b/>
              </w:rPr>
              <w:t>ids q4h</w:t>
            </w:r>
          </w:p>
          <w:p w:rsidR="00C7665B" w:rsidRPr="000E6035" w:rsidRDefault="00C7665B" w:rsidP="00D33E93">
            <w:pPr>
              <w:ind w:left="360"/>
              <w:rPr>
                <w:rFonts w:ascii="Comic Sans MS" w:hAnsi="Comic Sans MS"/>
                <w:i/>
                <w:sz w:val="20"/>
                <w:szCs w:val="20"/>
              </w:rPr>
            </w:pPr>
            <w:r w:rsidRPr="000E6035">
              <w:rPr>
                <w:rFonts w:ascii="Arial" w:hAnsi="Arial" w:cs="Arial"/>
                <w:i/>
                <w:sz w:val="20"/>
                <w:szCs w:val="20"/>
              </w:rPr>
              <w:t>►</w:t>
            </w:r>
            <w:r w:rsidRPr="000E6035">
              <w:rPr>
                <w:rFonts w:ascii="Comic Sans MS" w:hAnsi="Comic Sans MS"/>
                <w:i/>
                <w:sz w:val="20"/>
                <w:szCs w:val="20"/>
              </w:rPr>
              <w:t xml:space="preserve">To ensure pt/family know what effects illness may have on DM mgmt., and how to </w:t>
            </w:r>
            <w:r w:rsidR="0089425B" w:rsidRPr="000E6035">
              <w:rPr>
                <w:rFonts w:ascii="Comic Sans MS" w:hAnsi="Comic Sans MS"/>
                <w:i/>
                <w:sz w:val="20"/>
                <w:szCs w:val="20"/>
              </w:rPr>
              <w:t>prevent complications during illness</w:t>
            </w:r>
          </w:p>
          <w:p w:rsidR="00285E08" w:rsidRPr="000E6035" w:rsidRDefault="00285E08" w:rsidP="00285E08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b/>
              </w:rPr>
            </w:pPr>
            <w:r w:rsidRPr="000E6035">
              <w:rPr>
                <w:rFonts w:ascii="Comic Sans MS" w:hAnsi="Comic Sans MS"/>
                <w:b/>
              </w:rPr>
              <w:t>Instruct pt/family on instances when they should contact healthcare provider</w:t>
            </w:r>
          </w:p>
          <w:p w:rsidR="00285E08" w:rsidRPr="000E6035" w:rsidRDefault="00285E08" w:rsidP="00285E08">
            <w:pPr>
              <w:ind w:left="360"/>
              <w:rPr>
                <w:rFonts w:ascii="Comic Sans MS" w:hAnsi="Comic Sans MS"/>
                <w:b/>
              </w:rPr>
            </w:pPr>
            <w:r w:rsidRPr="000E6035">
              <w:rPr>
                <w:rFonts w:ascii="Comic Sans MS" w:hAnsi="Comic Sans MS"/>
                <w:b/>
              </w:rPr>
              <w:t xml:space="preserve">~FSBS &gt;300mg/dL, vomiting for more that 2-4 hours, failure of urinary </w:t>
            </w:r>
            <w:proofErr w:type="spellStart"/>
            <w:r w:rsidRPr="000E6035">
              <w:rPr>
                <w:rFonts w:ascii="Comic Sans MS" w:hAnsi="Comic Sans MS"/>
                <w:b/>
              </w:rPr>
              <w:t>ketones</w:t>
            </w:r>
            <w:proofErr w:type="spellEnd"/>
            <w:r w:rsidRPr="000E6035">
              <w:rPr>
                <w:rFonts w:ascii="Comic Sans MS" w:hAnsi="Comic Sans MS"/>
                <w:b/>
              </w:rPr>
              <w:t xml:space="preserve"> to clear within 12 hours, symptoms of dehydration, symptoms suggesting development of DKA or HHNS</w:t>
            </w:r>
          </w:p>
          <w:p w:rsidR="0089425B" w:rsidRPr="000E6035" w:rsidRDefault="0089425B" w:rsidP="00285E08">
            <w:pPr>
              <w:ind w:left="360"/>
              <w:rPr>
                <w:rFonts w:ascii="Comic Sans MS" w:hAnsi="Comic Sans MS"/>
                <w:b/>
              </w:rPr>
            </w:pPr>
            <w:r w:rsidRPr="000E6035">
              <w:rPr>
                <w:rFonts w:ascii="Comic Sans MS" w:hAnsi="Comic Sans MS"/>
                <w:b/>
              </w:rPr>
              <w:t>~Daily, at 0900 and at discharge</w:t>
            </w:r>
          </w:p>
          <w:p w:rsidR="0089425B" w:rsidRPr="000E6035" w:rsidRDefault="0089425B" w:rsidP="00285E08">
            <w:pPr>
              <w:ind w:left="360"/>
              <w:rPr>
                <w:rFonts w:ascii="Comic Sans MS" w:hAnsi="Comic Sans MS"/>
                <w:i/>
                <w:sz w:val="20"/>
                <w:szCs w:val="20"/>
              </w:rPr>
            </w:pPr>
            <w:r w:rsidRPr="000E6035">
              <w:rPr>
                <w:rFonts w:ascii="Arial" w:hAnsi="Arial" w:cs="Arial"/>
                <w:sz w:val="20"/>
                <w:szCs w:val="20"/>
              </w:rPr>
              <w:t>►</w:t>
            </w:r>
            <w:r w:rsidRPr="000E6035">
              <w:rPr>
                <w:rFonts w:ascii="Comic Sans MS" w:hAnsi="Comic Sans MS"/>
                <w:i/>
                <w:sz w:val="20"/>
                <w:szCs w:val="20"/>
              </w:rPr>
              <w:t>To ensure pt receives early treatment of hyperglycemia, in order to prevent occurrence of DKA or HHNS</w:t>
            </w:r>
          </w:p>
          <w:p w:rsidR="00A62014" w:rsidRPr="00A62014" w:rsidRDefault="00A62014" w:rsidP="00A62014">
            <w:pPr>
              <w:rPr>
                <w:rFonts w:ascii="Comic Sans MS" w:hAnsi="Comic Sans M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B16B66" w:rsidP="00346D4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2/15/12 Goal Partially Met, AEB:</w:t>
            </w:r>
          </w:p>
          <w:p w:rsidR="00B16B66" w:rsidRDefault="00B16B66" w:rsidP="00346D48">
            <w:pPr>
              <w:rPr>
                <w:rFonts w:ascii="Comic Sans MS" w:hAnsi="Comic Sans MS"/>
                <w:b/>
              </w:rPr>
            </w:pPr>
          </w:p>
          <w:p w:rsidR="00B16B66" w:rsidRDefault="00B65C55" w:rsidP="00B16B66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Pt cannot yet verbalize target BMI</w:t>
            </w:r>
          </w:p>
          <w:p w:rsidR="00B65C55" w:rsidRDefault="00B65C55" w:rsidP="00B16B66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Pt verbalized understanding of prescribed diet, family not yet available for teaching; reinforcement needed</w:t>
            </w:r>
          </w:p>
          <w:p w:rsidR="00B65C55" w:rsidRDefault="00B65C55" w:rsidP="00B16B66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Pt verbalized understanding her A1C level, and her target level</w:t>
            </w:r>
          </w:p>
          <w:p w:rsidR="00B65C55" w:rsidRDefault="00B65C55" w:rsidP="00B16B66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Pt FSBS levels have been within target range for </w:t>
            </w:r>
            <w:r>
              <w:rPr>
                <w:rFonts w:ascii="Comic Sans MS" w:hAnsi="Comic Sans MS"/>
              </w:rPr>
              <w:lastRenderedPageBreak/>
              <w:t>24 hours</w:t>
            </w:r>
          </w:p>
          <w:p w:rsidR="00B65C55" w:rsidRDefault="00B65C55" w:rsidP="00B16B66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Pt has been participating with PT/OT in completing daily exercise</w:t>
            </w:r>
          </w:p>
          <w:p w:rsidR="00B65C55" w:rsidRDefault="00B65C55" w:rsidP="00B16B66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Caretaker has not yet obtained a blood glucose testing monitor for home, or been present for instructions on home monitoring</w:t>
            </w:r>
          </w:p>
          <w:p w:rsidR="00B65C55" w:rsidRDefault="00B65C55" w:rsidP="00B16B66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Pt does not remember medications prescribed, or reason for prescription; Family has not been present for education</w:t>
            </w:r>
          </w:p>
          <w:p w:rsidR="00B65C55" w:rsidRDefault="00B65C55" w:rsidP="00B16B66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Pt verbalizes knowledge of ways to prevent hypoglycemia, further reinforcement needed</w:t>
            </w:r>
          </w:p>
          <w:p w:rsidR="00B65C55" w:rsidRDefault="00B65C55" w:rsidP="00B16B66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Pt does not have knowledge of her target serum cholesterol or BP levels, nor the reason for mgmt of these issues; family has not yet been present to evaluate their knowledge of goals</w:t>
            </w:r>
          </w:p>
          <w:p w:rsidR="00B65C55" w:rsidRDefault="00B65C55" w:rsidP="00B65C55">
            <w:pPr>
              <w:rPr>
                <w:rFonts w:ascii="Comic Sans MS" w:hAnsi="Comic Sans MS"/>
              </w:rPr>
            </w:pPr>
          </w:p>
          <w:p w:rsidR="00B65C55" w:rsidRDefault="00B65C55" w:rsidP="00B65C5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Continue Plan of Care~</w:t>
            </w:r>
          </w:p>
          <w:p w:rsidR="00B65C55" w:rsidRDefault="00B65C55" w:rsidP="00B65C55">
            <w:pPr>
              <w:rPr>
                <w:rFonts w:ascii="Comic Sans MS" w:hAnsi="Comic Sans MS"/>
              </w:rPr>
            </w:pPr>
          </w:p>
          <w:p w:rsidR="00B65C55" w:rsidRPr="00B65C55" w:rsidRDefault="00B65C55" w:rsidP="00B65C5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K. Davis, SNFRMC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</w:tr>
      <w:tr w:rsidR="00112588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4E2EF0" w:rsidRDefault="00112588" w:rsidP="00346D48">
            <w:pPr>
              <w:rPr>
                <w:rFonts w:ascii="Comic Sans MS" w:hAnsi="Comic Sans MS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footerReference w:type="default" r:id="rId7"/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A6C" w:rsidRDefault="00CA2A6C" w:rsidP="00426BD9">
      <w:r>
        <w:separator/>
      </w:r>
    </w:p>
  </w:endnote>
  <w:endnote w:type="continuationSeparator" w:id="0">
    <w:p w:rsidR="00CA2A6C" w:rsidRDefault="00CA2A6C" w:rsidP="00426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BD9" w:rsidRDefault="00426BD9">
    <w:pPr>
      <w:pStyle w:val="Footer"/>
    </w:pPr>
    <w:proofErr w:type="spellStart"/>
    <w:r>
      <w:t>Gulanick</w:t>
    </w:r>
    <w:proofErr w:type="spellEnd"/>
    <w:r>
      <w:t xml:space="preserve">, Meg, and Judith L. Myers. </w:t>
    </w:r>
    <w:r>
      <w:rPr>
        <w:i/>
        <w:iCs/>
      </w:rPr>
      <w:t>Nursing Care Plans: Diagnoses, Interventions, and Outcomes</w:t>
    </w:r>
    <w:r>
      <w:t>. 7th ed. St. Louis, MO: Elsevier Mosby, 2011. Print.</w:t>
    </w:r>
  </w:p>
  <w:p w:rsidR="00426BD9" w:rsidRDefault="00426BD9">
    <w:pPr>
      <w:pStyle w:val="Footer"/>
    </w:pPr>
    <w:proofErr w:type="spellStart"/>
    <w:r>
      <w:t>Doenges</w:t>
    </w:r>
    <w:proofErr w:type="spellEnd"/>
    <w:r>
      <w:t xml:space="preserve">, Marilynn E., Mary Frances </w:t>
    </w:r>
    <w:proofErr w:type="spellStart"/>
    <w:r>
      <w:t>Moorhouse</w:t>
    </w:r>
    <w:proofErr w:type="spellEnd"/>
    <w:r>
      <w:t xml:space="preserve">, and Alice C. </w:t>
    </w:r>
    <w:proofErr w:type="spellStart"/>
    <w:r>
      <w:t>Murr</w:t>
    </w:r>
    <w:proofErr w:type="spellEnd"/>
    <w:r>
      <w:t xml:space="preserve">. </w:t>
    </w:r>
    <w:r>
      <w:rPr>
        <w:i/>
        <w:iCs/>
      </w:rPr>
      <w:t>Nurse's Pocket Guide: Diagnoses, Prioritized Interventions, and Rationales</w:t>
    </w:r>
    <w:r>
      <w:t xml:space="preserve">. Philadelphia, PA: F.A. Davis, 2010. </w:t>
    </w:r>
    <w:proofErr w:type="spellStart"/>
    <w:r>
      <w:t>Skyscape</w:t>
    </w:r>
    <w:proofErr w:type="spellEnd"/>
    <w:r>
      <w:t>.</w:t>
    </w:r>
  </w:p>
  <w:p w:rsidR="001302F4" w:rsidRDefault="001302F4" w:rsidP="001302F4">
    <w:r>
      <w:t xml:space="preserve">Lewis, Sharon </w:t>
    </w:r>
    <w:proofErr w:type="spellStart"/>
    <w:r>
      <w:t>Mantik</w:t>
    </w:r>
    <w:proofErr w:type="spellEnd"/>
    <w:r>
      <w:t xml:space="preserve">. "Diabetes Mellitus." </w:t>
    </w:r>
    <w:r>
      <w:rPr>
        <w:i/>
        <w:iCs/>
      </w:rPr>
      <w:t>Medical-surgical Nursing: Assessment and Management of Clinical Problems</w:t>
    </w:r>
    <w:r>
      <w:t>. 8th ed. Vol. 2. St. Louis, MO: Elsevier/Mosby, 2011. 1218-253. Print.</w:t>
    </w:r>
  </w:p>
  <w:p w:rsidR="001302F4" w:rsidRDefault="001302F4" w:rsidP="001302F4">
    <w:proofErr w:type="spellStart"/>
    <w:r>
      <w:rPr>
        <w:rStyle w:val="orange"/>
      </w:rPr>
      <w:t>Suppo</w:t>
    </w:r>
    <w:proofErr w:type="spellEnd"/>
  </w:p>
  <w:p w:rsidR="001302F4" w:rsidRDefault="001302F4">
    <w:pPr>
      <w:pStyle w:val="Footer"/>
    </w:pPr>
  </w:p>
  <w:p w:rsidR="00426BD9" w:rsidRDefault="00426B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A6C" w:rsidRDefault="00CA2A6C" w:rsidP="00426BD9">
      <w:r>
        <w:separator/>
      </w:r>
    </w:p>
  </w:footnote>
  <w:footnote w:type="continuationSeparator" w:id="0">
    <w:p w:rsidR="00CA2A6C" w:rsidRDefault="00CA2A6C" w:rsidP="00426B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41E57"/>
    <w:multiLevelType w:val="hybridMultilevel"/>
    <w:tmpl w:val="34284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07712B"/>
    <w:multiLevelType w:val="hybridMultilevel"/>
    <w:tmpl w:val="A8A666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2E6ACA"/>
    <w:multiLevelType w:val="hybridMultilevel"/>
    <w:tmpl w:val="09766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42FD5"/>
    <w:multiLevelType w:val="hybridMultilevel"/>
    <w:tmpl w:val="56E021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FB660F"/>
    <w:multiLevelType w:val="hybridMultilevel"/>
    <w:tmpl w:val="2B022F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143155"/>
    <w:multiLevelType w:val="hybridMultilevel"/>
    <w:tmpl w:val="956A8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EE643C"/>
    <w:multiLevelType w:val="hybridMultilevel"/>
    <w:tmpl w:val="6186F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96B02"/>
    <w:multiLevelType w:val="hybridMultilevel"/>
    <w:tmpl w:val="D80CEA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098491D"/>
    <w:multiLevelType w:val="hybridMultilevel"/>
    <w:tmpl w:val="9B8843CC"/>
    <w:lvl w:ilvl="0" w:tplc="6D66513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1D60044"/>
    <w:multiLevelType w:val="hybridMultilevel"/>
    <w:tmpl w:val="C116E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12588"/>
    <w:rsid w:val="0001105A"/>
    <w:rsid w:val="00070D81"/>
    <w:rsid w:val="000E6035"/>
    <w:rsid w:val="00112588"/>
    <w:rsid w:val="001302F4"/>
    <w:rsid w:val="00285E08"/>
    <w:rsid w:val="00394DCA"/>
    <w:rsid w:val="00426BD9"/>
    <w:rsid w:val="004B788F"/>
    <w:rsid w:val="004E2EF0"/>
    <w:rsid w:val="005933FA"/>
    <w:rsid w:val="006D6DD0"/>
    <w:rsid w:val="00730A4F"/>
    <w:rsid w:val="00782C28"/>
    <w:rsid w:val="00814F81"/>
    <w:rsid w:val="00892D43"/>
    <w:rsid w:val="0089425B"/>
    <w:rsid w:val="009D7828"/>
    <w:rsid w:val="00A62014"/>
    <w:rsid w:val="00AE411F"/>
    <w:rsid w:val="00B16B66"/>
    <w:rsid w:val="00B65C55"/>
    <w:rsid w:val="00BD0887"/>
    <w:rsid w:val="00C7665B"/>
    <w:rsid w:val="00CA2A6C"/>
    <w:rsid w:val="00D20BCC"/>
    <w:rsid w:val="00D33E93"/>
    <w:rsid w:val="00D55C8D"/>
    <w:rsid w:val="00F21EAC"/>
    <w:rsid w:val="00FB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26B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6B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6B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B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B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BD9"/>
    <w:rPr>
      <w:rFonts w:ascii="Tahoma" w:eastAsia="Times New Roman" w:hAnsi="Tahoma" w:cs="Tahoma"/>
      <w:sz w:val="16"/>
      <w:szCs w:val="16"/>
    </w:rPr>
  </w:style>
  <w:style w:type="character" w:customStyle="1" w:styleId="orange">
    <w:name w:val="orange"/>
    <w:basedOn w:val="DefaultParagraphFont"/>
    <w:rsid w:val="001302F4"/>
  </w:style>
  <w:style w:type="paragraph" w:styleId="ListParagraph">
    <w:name w:val="List Paragraph"/>
    <w:basedOn w:val="Normal"/>
    <w:uiPriority w:val="34"/>
    <w:qFormat/>
    <w:rsid w:val="004E2E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1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10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6821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Jeana</cp:lastModifiedBy>
  <cp:revision>14</cp:revision>
  <dcterms:created xsi:type="dcterms:W3CDTF">2012-02-17T23:03:00Z</dcterms:created>
  <dcterms:modified xsi:type="dcterms:W3CDTF">2012-02-18T01:33:00Z</dcterms:modified>
</cp:coreProperties>
</file>