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8"/>
        <w:gridCol w:w="4680"/>
        <w:gridCol w:w="1890"/>
        <w:gridCol w:w="5400"/>
        <w:gridCol w:w="2502"/>
      </w:tblGrid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 xml:space="preserve">Medication &amp; 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  <w:tc>
          <w:tcPr>
            <w:tcW w:w="4680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Acetaminophen (Tylenol)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Therapeutic: antipyretic, non-narcotic analgesic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 xml:space="preserve">Pharmacological: </w:t>
            </w:r>
            <w:proofErr w:type="spellStart"/>
            <w:r w:rsidRPr="00001FE5">
              <w:rPr>
                <w:rFonts w:ascii="Arial" w:hAnsi="Arial" w:cs="Arial"/>
                <w:sz w:val="20"/>
                <w:szCs w:val="20"/>
                <w:lang w:bidi="en-US"/>
              </w:rPr>
              <w:t>Nonsalicylate</w:t>
            </w:r>
            <w:proofErr w:type="spellEnd"/>
            <w:r w:rsidRPr="00001FE5">
              <w:rPr>
                <w:rFonts w:ascii="Arial" w:hAnsi="Arial" w:cs="Arial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001FE5">
              <w:rPr>
                <w:rFonts w:ascii="Arial" w:hAnsi="Arial" w:cs="Arial"/>
                <w:sz w:val="20"/>
                <w:szCs w:val="20"/>
                <w:lang w:bidi="en-US"/>
              </w:rPr>
              <w:t>para</w:t>
            </w:r>
            <w:proofErr w:type="spellEnd"/>
            <w:r w:rsidRPr="00001FE5">
              <w:rPr>
                <w:rFonts w:ascii="Arial" w:hAnsi="Arial" w:cs="Arial"/>
                <w:sz w:val="20"/>
                <w:szCs w:val="20"/>
                <w:lang w:bidi="en-US"/>
              </w:rPr>
              <w:t>-aminophenol derivative</w:t>
            </w: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 xml:space="preserve">Medication &amp; </w:t>
            </w:r>
          </w:p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  <w:tc>
          <w:tcPr>
            <w:tcW w:w="5400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1FE5">
              <w:rPr>
                <w:rFonts w:ascii="Arial" w:hAnsi="Arial" w:cs="Arial"/>
                <w:sz w:val="20"/>
                <w:szCs w:val="20"/>
              </w:rPr>
              <w:t>Albuterol</w:t>
            </w:r>
            <w:proofErr w:type="spellEnd"/>
            <w:r w:rsidRPr="00001FE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01FE5">
              <w:rPr>
                <w:rFonts w:ascii="Arial" w:hAnsi="Arial" w:cs="Arial"/>
                <w:sz w:val="20"/>
                <w:szCs w:val="20"/>
              </w:rPr>
              <w:t>Proventil</w:t>
            </w:r>
            <w:proofErr w:type="spellEnd"/>
            <w:r w:rsidRPr="00001FE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Therapeutic: Bronchodilator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Pharmacological</w:t>
            </w:r>
            <w:r w:rsidRPr="00001FE5">
              <w:rPr>
                <w:rFonts w:ascii="Arial" w:hAnsi="Arial" w:cs="Arial"/>
                <w:sz w:val="20"/>
                <w:szCs w:val="20"/>
              </w:rPr>
              <w:t>: Beta 2 adrenergic agonist</w:t>
            </w:r>
          </w:p>
        </w:tc>
        <w:tc>
          <w:tcPr>
            <w:tcW w:w="2502" w:type="dxa"/>
            <w:vMerge w:val="restart"/>
            <w:tcBorders>
              <w:top w:val="nil"/>
            </w:tcBorders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Ordered Dose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(Include frequency)</w:t>
            </w:r>
          </w:p>
        </w:tc>
        <w:tc>
          <w:tcPr>
            <w:tcW w:w="4680" w:type="dxa"/>
          </w:tcPr>
          <w:p w:rsidR="005447DD" w:rsidRPr="00001FE5" w:rsidRDefault="00512895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Route G tube</w:t>
            </w:r>
          </w:p>
          <w:p w:rsidR="00512895" w:rsidRPr="00001FE5" w:rsidRDefault="00512895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Dose: Q 6hrs PRN, 5ml</w:t>
            </w: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Ordered Dose</w:t>
            </w:r>
          </w:p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Include frequency</w:t>
            </w:r>
          </w:p>
        </w:tc>
        <w:tc>
          <w:tcPr>
            <w:tcW w:w="5400" w:type="dxa"/>
          </w:tcPr>
          <w:p w:rsidR="005447DD" w:rsidRPr="00001FE5" w:rsidRDefault="00512895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Route INH</w:t>
            </w:r>
          </w:p>
          <w:p w:rsidR="00512895" w:rsidRPr="00001FE5" w:rsidRDefault="00512895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Dose: 2 puffs Q 4 PRN</w:t>
            </w:r>
          </w:p>
        </w:tc>
        <w:tc>
          <w:tcPr>
            <w:tcW w:w="2502" w:type="dxa"/>
            <w:vMerge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 xml:space="preserve">Recommended 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Dose</w:t>
            </w:r>
          </w:p>
        </w:tc>
        <w:tc>
          <w:tcPr>
            <w:tcW w:w="4680" w:type="dxa"/>
          </w:tcPr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Adults.</w:t>
            </w:r>
          </w:p>
          <w:p w:rsidR="005447DD" w:rsidRPr="00001FE5" w:rsidRDefault="00597507">
            <w:pPr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325 to 650 mg every 4 to 6 hr, or 1,000 mg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t.i.d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. or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q.i.d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., or 2 E.R. caplets every 8 hr. </w:t>
            </w:r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Maximum: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4,000 mg daily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Children ages 2 t</w:t>
            </w: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o 3.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160 mg every 4 hr. </w:t>
            </w:r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Maximum: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5 doses in 24 hr.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Children age 1.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120 mg every 4 hr. </w:t>
            </w:r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Maximum: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5 doses in 24 hr.</w:t>
            </w: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 xml:space="preserve">Recommended </w:t>
            </w:r>
          </w:p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Dose</w:t>
            </w:r>
          </w:p>
        </w:tc>
        <w:tc>
          <w:tcPr>
            <w:tcW w:w="5400" w:type="dxa"/>
          </w:tcPr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Adults and children age 12 and over.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2.5 mg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t.i.d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. or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q.i.d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. by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nebulization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over 5 to 15 min.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Children ages 2 to 12.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Initial</w:t>
            </w:r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: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0.1 to 0.15 mg/ kg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t.i.d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. or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q.i.d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. </w:t>
            </w:r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Maximum: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2.5 mg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t.i.d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. or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q.i.d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.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Adults and children age 4 and over.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 inhalation every 4 hr to 2 inhalations every 4 to 6 hr.</w:t>
            </w:r>
          </w:p>
        </w:tc>
        <w:tc>
          <w:tcPr>
            <w:tcW w:w="2502" w:type="dxa"/>
            <w:vMerge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Food &amp; Medication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Interactions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Drugs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proofErr w:type="spellStart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anticholinergics</w:t>
            </w:r>
            <w:proofErr w:type="spellEnd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: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Decreased onset of action of a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cetaminophen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:rsidR="005447DD" w:rsidRPr="00001FE5" w:rsidRDefault="00597507" w:rsidP="005447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 xml:space="preserve">barbiturates, </w:t>
            </w:r>
            <w:proofErr w:type="spellStart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carbamazepine</w:t>
            </w:r>
            <w:proofErr w:type="spellEnd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hydantoins</w:t>
            </w:r>
            <w:proofErr w:type="spellEnd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isoniazid</w:t>
            </w:r>
            <w:proofErr w:type="spellEnd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rifampin</w:t>
            </w:r>
            <w:proofErr w:type="spellEnd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sulfinpyrazone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: Decreased therapeutic effects and increased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hepatotoxic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effects of acetaminophen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:rsidR="005447DD" w:rsidRPr="00001FE5" w:rsidRDefault="00597507" w:rsidP="005447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proofErr w:type="spellStart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lamotrigine</w:t>
            </w:r>
            <w:proofErr w:type="spellEnd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, loop diuretics: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Possibly decreased therapeutic effects of these drugs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:rsidR="005447DD" w:rsidRPr="00001FE5" w:rsidRDefault="00597507" w:rsidP="005447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oral contraceptives: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Decreased effectiveness of acetaminophen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:rsidR="005447DD" w:rsidRPr="00001FE5" w:rsidRDefault="00597507" w:rsidP="005447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proofErr w:type="spellStart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probenecid</w:t>
            </w:r>
            <w:proofErr w:type="spellEnd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: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Possibly increased therapeutic effects of acetaminophen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:rsidR="005447DD" w:rsidRPr="00001FE5" w:rsidRDefault="00597507" w:rsidP="005447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proofErr w:type="spellStart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propranolol</w:t>
            </w:r>
            <w:proofErr w:type="spellEnd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: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Possibly increased action of acetaminophen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:rsidR="005447DD" w:rsidRPr="00001FE5" w:rsidRDefault="00597507" w:rsidP="005447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proofErr w:type="spellStart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zidovudine</w:t>
            </w:r>
            <w:proofErr w:type="spellEnd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: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Possibly decreased effects of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zidovudine</w:t>
            </w:r>
            <w:proofErr w:type="spellEnd"/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Activities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lastRenderedPageBreak/>
              <w:t>a</w:t>
            </w:r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lcohol use: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Increased risk of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hepatotoxicity</w:t>
            </w:r>
            <w:proofErr w:type="spellEnd"/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lastRenderedPageBreak/>
              <w:t>Food &amp; Medication</w:t>
            </w:r>
          </w:p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Interactions</w:t>
            </w:r>
          </w:p>
        </w:tc>
        <w:tc>
          <w:tcPr>
            <w:tcW w:w="5400" w:type="dxa"/>
          </w:tcPr>
          <w:p w:rsidR="005447DD" w:rsidRPr="00001FE5" w:rsidRDefault="00597507" w:rsidP="005447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Drugs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beta blockers: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Inhibited effects of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albuterol</w:t>
            </w:r>
            <w:proofErr w:type="spellEnd"/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:rsidR="005447DD" w:rsidRPr="00001FE5" w:rsidRDefault="00597507" w:rsidP="005447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bronchodilators (</w:t>
            </w:r>
            <w:proofErr w:type="spellStart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sympathomimetics</w:t>
            </w:r>
            <w:proofErr w:type="spellEnd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 xml:space="preserve">), such as </w:t>
            </w:r>
            <w:proofErr w:type="spellStart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theophylline</w:t>
            </w:r>
            <w:proofErr w:type="spellEnd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: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Possibly adverse CV effects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:rsidR="005447DD" w:rsidRPr="00001FE5" w:rsidRDefault="00597507" w:rsidP="005447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proofErr w:type="spellStart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digoxin</w:t>
            </w:r>
            <w:proofErr w:type="spellEnd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: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Decreased serum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digoxin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level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:rsidR="005447DD" w:rsidRPr="00001FE5" w:rsidRDefault="00597507" w:rsidP="005447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 xml:space="preserve">MAO inhibitors, </w:t>
            </w:r>
            <w:proofErr w:type="spellStart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tricyclic</w:t>
            </w:r>
            <w:proofErr w:type="spellEnd"/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 xml:space="preserve"> antidepressants: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Increased vascular effects of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albuterol</w:t>
            </w:r>
            <w:proofErr w:type="spellEnd"/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:rsidR="005447DD" w:rsidRPr="00001FE5" w:rsidRDefault="00597507" w:rsidP="005447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methyldopa: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Increased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vasopressor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effect of methyldopa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:rsidR="005447DD" w:rsidRPr="00001FE5" w:rsidRDefault="00597507" w:rsidP="005447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potassium-lowering drugs: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Possibly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hypokalemia</w:t>
            </w:r>
            <w:proofErr w:type="spellEnd"/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:rsidR="005447DD" w:rsidRPr="00001FE5" w:rsidRDefault="00597507" w:rsidP="005447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  <w:lang w:bidi="en-US"/>
              </w:rPr>
              <w:t>potassium-wasting diuretics: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Possibly increased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hypokalemia</w:t>
            </w:r>
            <w:proofErr w:type="spellEnd"/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lastRenderedPageBreak/>
              <w:t>Side</w:t>
            </w:r>
            <w:r w:rsidRPr="00001FE5">
              <w:rPr>
                <w:rFonts w:ascii="Arial" w:hAnsi="Arial" w:cs="Arial"/>
                <w:sz w:val="20"/>
                <w:szCs w:val="20"/>
              </w:rPr>
              <w:t xml:space="preserve"> Effects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GI: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Abdominal pain,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hepatotoxicity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nausea, vomiting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HEME: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Hemolytic anemia (with long-term use),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leukopenia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neutropenia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pancytopenia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thrombocytopenia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SKIN: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Jaundice, rash,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urticaria</w:t>
            </w:r>
            <w:proofErr w:type="spellEnd"/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Other: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Angioedema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hypoglycemic coma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Side Effects</w:t>
            </w:r>
          </w:p>
        </w:tc>
        <w:tc>
          <w:tcPr>
            <w:tcW w:w="5400" w:type="dxa"/>
          </w:tcPr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CNS</w:t>
            </w: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: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Anxiety, dizziness, drowsiness, headache,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hyperkinesia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insomnia, irritability, nervousness, tremor, vertigo, weakness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CV: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Angina; arrhythmias, including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atrial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fibrillation,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extrasystoles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supraventricular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tachycardia, and tachycardia; chest pain; hyper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tension; hypotension; palpitations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EENT: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Altered taste, dry mouth and throat, ear pain,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glossitis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, hoarseness,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oropharyngeal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edema,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pharyngitis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rhinitis, taste perversion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ENDO: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Hyperglycemia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GI: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Anorexia, diarrhea,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dysphagia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heartburn, nausea, vomiting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G</w:t>
            </w: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U: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UTI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MS: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Muscle cramps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RESP: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Bronchospasm, cough,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dyspnea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paradoxical bronchospasm, pulmonary edema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SKIN: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Diaphoresis, flushing, pallor,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pruritus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, rash,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urticaria</w:t>
            </w:r>
            <w:proofErr w:type="spellEnd"/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Other: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Angioedema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hypokalemia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infection, metabolic acidosis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rPr>
          <w:trHeight w:val="3860"/>
        </w:trPr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lastRenderedPageBreak/>
              <w:t xml:space="preserve">Nursing 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Interventions</w:t>
            </w:r>
          </w:p>
        </w:tc>
        <w:tc>
          <w:tcPr>
            <w:tcW w:w="4680" w:type="dxa"/>
          </w:tcPr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B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efore and during long-term therapy, monitor liver function test results, including AST, ALT,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bilirubin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and creatinine levels, as ordered.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Monitor renal function in patient on long-term therapy. Keep in mind that blood or albumin in urine may indicate neph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ritis; decreased urine output, renal failure; and dark brown urine, presence of the metabolite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phenacetin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Expect to reduce dosage for patients with renal dysfunction.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Store suppositories under 80° F (26.6° C).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WARNING Be aware that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Pediaphen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is a concentr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ated form of acetaminophen containing 80 mg/0.8 ml (standard liquid forms contain 32 mg/ml). Make sure to use correct concentration and correct dosage of liquid acetaminophen because serious adverse reactions can result from confusing concentrated form wit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h regular liquid form.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 xml:space="preserve">Nursing </w:t>
            </w:r>
          </w:p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Interventions</w:t>
            </w:r>
          </w:p>
        </w:tc>
        <w:tc>
          <w:tcPr>
            <w:tcW w:w="5400" w:type="dxa"/>
          </w:tcPr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Administer pressurized inhalations of al-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buterol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during second half of inspiration, when airways are open wider and aerosol distribution is more effective.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WARNING Use cautiously in patients with cardia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 disorders, diabetes mellitus, digitalis intoxication, hypertension, hyperthyroidism, or history of seizures.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Albuterol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can worsen these conditions.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Monitor serum potassium level because al-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buterol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may cause transient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hypokalemia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Be aware that drug toler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ance can develop with prolonged use.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Client Education</w:t>
            </w:r>
          </w:p>
        </w:tc>
        <w:tc>
          <w:tcPr>
            <w:tcW w:w="4680" w:type="dxa"/>
          </w:tcPr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Tell patient that tablets may be crushed or swallowed whole.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Instruct patient to read manufacturer's label and follow dosage guidelines precisely. Explain that infants’ and children's acetaminophen 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liquid aren't equal in drug concentration and aren't interchangeable.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Advise patient to use manufacturer's dropper or dosage cup for measuring liquid acetaminophen.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lastRenderedPageBreak/>
              <w:t>Advise him to contact prescriber before taking other prescription or OTC products because t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hey may contain acetaminophen.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Teach patient to recognize signs of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hepatotoxicity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such as bleeding, easy bruising, and malaise, which commonly occurs with chronic overdose.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lastRenderedPageBreak/>
              <w:t>Client Education</w:t>
            </w:r>
          </w:p>
        </w:tc>
        <w:tc>
          <w:tcPr>
            <w:tcW w:w="5400" w:type="dxa"/>
          </w:tcPr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Teach patient to use inhaler. Tell him to shake canister be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fore use and to check that a new canister is working by spraying it the appropriate number of times (once to four times based on manufacturer instructions) into the air while looking for a fine mist.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Instruct patient to wash mouthpiece with water once a we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ek and let it air-dry.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Advise patient to wait at least 1 minute between inhalations.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lastRenderedPageBreak/>
              <w:t>Tell patient to check with his prescriber before using other inhaled drugs.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Warn patient not to exceed prescribed dose or frequency. If doses become less effective, tell h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im to contact his prescriber.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Tell patient to immediately report signs and symptoms of allergic reaction, such as difficulty swallowing, itching, and rash.</w:t>
            </w:r>
          </w:p>
        </w:tc>
        <w:tc>
          <w:tcPr>
            <w:tcW w:w="2502" w:type="dxa"/>
            <w:vMerge/>
            <w:tcBorders>
              <w:bottom w:val="nil"/>
            </w:tcBorders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lastRenderedPageBreak/>
              <w:t xml:space="preserve">Medication &amp; 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  <w:tc>
          <w:tcPr>
            <w:tcW w:w="4680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1FE5">
              <w:rPr>
                <w:rFonts w:ascii="Arial" w:hAnsi="Arial" w:cs="Arial"/>
                <w:sz w:val="20"/>
                <w:szCs w:val="20"/>
              </w:rPr>
              <w:t>Nystatin</w:t>
            </w:r>
            <w:proofErr w:type="spellEnd"/>
            <w:r w:rsidRPr="00001FE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01FE5">
              <w:rPr>
                <w:rFonts w:ascii="Arial" w:hAnsi="Arial" w:cs="Arial"/>
                <w:sz w:val="20"/>
                <w:szCs w:val="20"/>
              </w:rPr>
              <w:t>Mycostatin</w:t>
            </w:r>
            <w:proofErr w:type="spellEnd"/>
            <w:r w:rsidRPr="00001FE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12895" w:rsidRPr="00001FE5" w:rsidRDefault="004B0300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Therapeutic: antifungal</w:t>
            </w:r>
          </w:p>
          <w:p w:rsidR="004B0300" w:rsidRPr="00001FE5" w:rsidRDefault="004B0300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 xml:space="preserve">Pharmacological: </w:t>
            </w:r>
            <w:proofErr w:type="spellStart"/>
            <w:r w:rsidRPr="00001FE5">
              <w:rPr>
                <w:rFonts w:ascii="Arial" w:hAnsi="Arial" w:cs="Arial"/>
                <w:sz w:val="20"/>
                <w:szCs w:val="20"/>
              </w:rPr>
              <w:t>Amphoteric</w:t>
            </w:r>
            <w:proofErr w:type="spellEnd"/>
            <w:r w:rsidRPr="00001F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1FE5">
              <w:rPr>
                <w:rFonts w:ascii="Arial" w:hAnsi="Arial" w:cs="Arial"/>
                <w:sz w:val="20"/>
                <w:szCs w:val="20"/>
              </w:rPr>
              <w:t>polyene</w:t>
            </w:r>
            <w:proofErr w:type="spellEnd"/>
            <w:r w:rsidRPr="00001F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1FE5">
              <w:rPr>
                <w:rFonts w:ascii="Arial" w:hAnsi="Arial" w:cs="Arial"/>
                <w:sz w:val="20"/>
                <w:szCs w:val="20"/>
              </w:rPr>
              <w:t>macrolide</w:t>
            </w:r>
            <w:proofErr w:type="spellEnd"/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 xml:space="preserve">Medication &amp; </w:t>
            </w:r>
          </w:p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  <w:tc>
          <w:tcPr>
            <w:tcW w:w="5400" w:type="dxa"/>
          </w:tcPr>
          <w:p w:rsidR="005447DD" w:rsidRPr="00001FE5" w:rsidRDefault="005128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1FE5">
              <w:rPr>
                <w:rFonts w:ascii="Arial" w:hAnsi="Arial" w:cs="Arial"/>
                <w:sz w:val="20"/>
                <w:szCs w:val="20"/>
              </w:rPr>
              <w:t>Lansoprazole</w:t>
            </w:r>
            <w:proofErr w:type="spellEnd"/>
            <w:r w:rsidRPr="00001FE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01FE5">
              <w:rPr>
                <w:rFonts w:ascii="Arial" w:hAnsi="Arial" w:cs="Arial"/>
                <w:sz w:val="20"/>
                <w:szCs w:val="20"/>
              </w:rPr>
              <w:t>Prevacid</w:t>
            </w:r>
            <w:proofErr w:type="spellEnd"/>
            <w:r w:rsidRPr="00001FE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12895" w:rsidRPr="00001FE5" w:rsidRDefault="00512895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Therapeutic: antiulcer agents</w:t>
            </w:r>
          </w:p>
          <w:p w:rsidR="00512895" w:rsidRPr="00001FE5" w:rsidRDefault="00512895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Pharmacological: proton pump inhibitors</w:t>
            </w:r>
          </w:p>
        </w:tc>
        <w:tc>
          <w:tcPr>
            <w:tcW w:w="2502" w:type="dxa"/>
            <w:vMerge w:val="restart"/>
            <w:tcBorders>
              <w:top w:val="nil"/>
            </w:tcBorders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Ordered Dose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(I</w:t>
            </w:r>
            <w:r w:rsidRPr="00001FE5">
              <w:rPr>
                <w:rFonts w:ascii="Arial" w:hAnsi="Arial" w:cs="Arial"/>
                <w:sz w:val="20"/>
                <w:szCs w:val="20"/>
              </w:rPr>
              <w:t>nclude frequency)</w:t>
            </w:r>
          </w:p>
        </w:tc>
        <w:tc>
          <w:tcPr>
            <w:tcW w:w="4680" w:type="dxa"/>
          </w:tcPr>
          <w:p w:rsidR="00512895" w:rsidRPr="00001FE5" w:rsidRDefault="00512895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Route: Powder application, topical</w:t>
            </w:r>
          </w:p>
          <w:p w:rsidR="00512895" w:rsidRPr="00001FE5" w:rsidRDefault="00512895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Dose: BID, 0900, 2100</w:t>
            </w: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Ordered Dose</w:t>
            </w:r>
          </w:p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Include frequency</w:t>
            </w:r>
          </w:p>
        </w:tc>
        <w:tc>
          <w:tcPr>
            <w:tcW w:w="5400" w:type="dxa"/>
          </w:tcPr>
          <w:p w:rsidR="005447DD" w:rsidRPr="00001FE5" w:rsidRDefault="00512895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Route: G Tube</w:t>
            </w:r>
          </w:p>
          <w:p w:rsidR="00512895" w:rsidRPr="00001FE5" w:rsidRDefault="00512895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Dose: 7.5 mg (0.5 tablets) Daily 0900</w:t>
            </w:r>
          </w:p>
        </w:tc>
        <w:tc>
          <w:tcPr>
            <w:tcW w:w="2502" w:type="dxa"/>
            <w:vMerge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 xml:space="preserve">Recommended 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Dose</w:t>
            </w:r>
          </w:p>
        </w:tc>
        <w:tc>
          <w:tcPr>
            <w:tcW w:w="4680" w:type="dxa"/>
          </w:tcPr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Cream, ointment, powder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Adults and children.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100,000 units (1 g) on affected area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b.i.d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. or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t.i.d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. for at least 2 wk.</w:t>
            </w: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 xml:space="preserve">Recommended </w:t>
            </w:r>
          </w:p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Dose</w:t>
            </w:r>
          </w:p>
        </w:tc>
        <w:tc>
          <w:tcPr>
            <w:tcW w:w="5400" w:type="dxa"/>
          </w:tcPr>
          <w:p w:rsidR="005447DD" w:rsidRPr="00001FE5" w:rsidRDefault="004B0300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Style w:val="googqs-tidbit"/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lang/>
              </w:rPr>
              <w:t>Children 1 -11 years:</w:t>
            </w:r>
            <w:r w:rsidRPr="00001FE5">
              <w:rPr>
                <w:rStyle w:val="googqs-tidbit"/>
                <w:rFonts w:ascii="Arial" w:hAnsi="Arial" w:cs="Arial"/>
                <w:color w:val="333333"/>
                <w:sz w:val="20"/>
                <w:szCs w:val="20"/>
                <w:lang/>
              </w:rPr>
              <w:t xml:space="preserve"> Depending on your child's weight, the usual dose is 15 mg or 30 mg</w:t>
            </w:r>
            <w:r w:rsidRPr="00001FE5">
              <w:rPr>
                <w:rFonts w:ascii="Arial" w:hAnsi="Arial" w:cs="Arial"/>
                <w:color w:val="333333"/>
                <w:sz w:val="20"/>
                <w:szCs w:val="20"/>
                <w:lang/>
              </w:rPr>
              <w:t xml:space="preserve"> once a day for up to 12 weeks. If your child's symptoms do not improve after 2 or more weeks, the doctor may increase the dose up to a maximum of 30 mg twice a day</w:t>
            </w:r>
          </w:p>
        </w:tc>
        <w:tc>
          <w:tcPr>
            <w:tcW w:w="2502" w:type="dxa"/>
            <w:vMerge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Food &amp; Medication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Interactions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None Report</w:t>
            </w:r>
            <w:r w:rsidRPr="00001FE5">
              <w:rPr>
                <w:rFonts w:ascii="Arial" w:hAnsi="Arial" w:cs="Arial"/>
                <w:sz w:val="20"/>
                <w:szCs w:val="20"/>
              </w:rPr>
              <w:t>ed</w:t>
            </w: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Food &amp; Medication</w:t>
            </w:r>
          </w:p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Interactions</w:t>
            </w:r>
          </w:p>
        </w:tc>
        <w:tc>
          <w:tcPr>
            <w:tcW w:w="5400" w:type="dxa"/>
          </w:tcPr>
          <w:p w:rsidR="004B0300" w:rsidRPr="004B0300" w:rsidRDefault="004B0300" w:rsidP="004B030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Drugs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alprazolam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astemizole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carbamazepine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cisa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-pride, cyclosporine, diazepam, </w:t>
            </w: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diltiazem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erythromycin, </w:t>
            </w: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felodipine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lidocaine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lovastatin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midazolam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quinidine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simvastatin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terfena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-dine, </w:t>
            </w: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triazolam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verapamil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voriconazole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:</w:t>
            </w:r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Decreased clearance and increased blood levels of these drugs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ampicillin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iron salts, </w:t>
            </w: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itraconazole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ketoconazole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vitamin B12:</w:t>
            </w:r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Impaired absorption of these drugs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atazanavir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:</w:t>
            </w:r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Decreased plasma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atazanavir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level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cilostazol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:</w:t>
            </w:r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Increased blood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cilostazol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level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clarithromycin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:</w:t>
            </w:r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Increased blood levels of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omeprazole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clarithromycinl</w:t>
            </w:r>
            <w:proofErr w:type="spellEnd"/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digoxin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:</w:t>
            </w:r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Increased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digoxin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bioavailability, possibly digitalis toxicity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levobupivacaine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:</w:t>
            </w:r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Increased risk of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levobupi-vacaine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toxicity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lastRenderedPageBreak/>
              <w:t>methotrexate:</w:t>
            </w:r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Possibly delayed methotrexate elimination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nifedipine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:</w:t>
            </w:r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Decreased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nifedipine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clearance, increased risk of hypotension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phenytoin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:</w:t>
            </w:r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Decreased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phenytoin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clearance, increased risk of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phenytoin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toxicity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sucralfate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:</w:t>
            </w:r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Decreased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omeprazole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absorption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tacrolimus</w:t>
            </w:r>
            <w:proofErr w:type="spellEnd"/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:</w:t>
            </w:r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Possibly increased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tacrolimus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level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warfarin:</w:t>
            </w:r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Possibly increased risk of abnormal bleeding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lastRenderedPageBreak/>
              <w:t>Side Effects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ENDO: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Hyperglycemia (lozenge, oral suspension)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GI: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Abdominal pain, diarrhea, nausea, vomiting (oral forms)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GU: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Vaginal burning or itching (vaginal form)</w:t>
            </w:r>
          </w:p>
          <w:p w:rsidR="005447DD" w:rsidRPr="00001FE5" w:rsidRDefault="00597507" w:rsidP="005447D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b/>
                <w:bCs/>
                <w:sz w:val="20"/>
                <w:szCs w:val="20"/>
                <w:lang w:bidi="en-US"/>
              </w:rPr>
              <w:t>SKIN: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Irritation (topical forms)</w:t>
            </w: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Side Effects</w:t>
            </w:r>
          </w:p>
        </w:tc>
        <w:tc>
          <w:tcPr>
            <w:tcW w:w="5400" w:type="dxa"/>
          </w:tcPr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CNS: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sz w:val="20"/>
                <w:szCs w:val="20"/>
              </w:rPr>
              <w:t>Agitation, asthenia, dizziness, drowsiness, fatigue, headache, psychic disturbances, somnolence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CV: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Chest pain, hypertension, peripheral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ed-dema</w:t>
            </w:r>
            <w:proofErr w:type="spellEnd"/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EENT: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Anterior ischemic optic neuropathy, optic atrophy or neuritis,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stomatitis</w:t>
            </w:r>
            <w:proofErr w:type="spellEnd"/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ENDO: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sz w:val="20"/>
                <w:szCs w:val="20"/>
              </w:rPr>
              <w:t>Hypoglycemia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GI: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sz w:val="20"/>
                <w:szCs w:val="20"/>
              </w:rPr>
              <w:t>Abdominal pain, constipation, diarrhea, dyspepsia, elevated liver function test results, flatulence, hepatic dysfunction or failure, indigestion, nausea, pancreatitis, vomiting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GU: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sz w:val="20"/>
                <w:szCs w:val="20"/>
              </w:rPr>
              <w:t>Interstitial nephritis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HEME: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Agranulocytosis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, anemia, hemolytic anemia,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leukopenia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leukocytosis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neutrope-nia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pancytopenia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, thrombocytopenia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MS: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sz w:val="20"/>
                <w:szCs w:val="20"/>
              </w:rPr>
              <w:t>Back pain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RESP: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sz w:val="20"/>
                <w:szCs w:val="20"/>
              </w:rPr>
              <w:t>Cough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SKIN: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Erythema multiforme, photosensitivity,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pruritus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, rash, Stevens-Johnson syndrome, toxic epidermal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necrolysis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urticaria</w:t>
            </w:r>
            <w:proofErr w:type="spellEnd"/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Other:</w:t>
            </w:r>
          </w:p>
          <w:p w:rsidR="004B0300" w:rsidRPr="004B0300" w:rsidRDefault="004B0300" w:rsidP="004B03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Anaphylaxis,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angioedema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hypona-tremia</w:t>
            </w:r>
            <w:proofErr w:type="spellEnd"/>
          </w:p>
          <w:p w:rsidR="004B0300" w:rsidRPr="004B0300" w:rsidRDefault="004B0300" w:rsidP="004B0300">
            <w:pPr>
              <w:spacing w:after="24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lastRenderedPageBreak/>
              <w:t xml:space="preserve">Nursing 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Interventions</w:t>
            </w:r>
          </w:p>
        </w:tc>
        <w:tc>
          <w:tcPr>
            <w:tcW w:w="4680" w:type="dxa"/>
          </w:tcPr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prepare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nystatin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powder for oral suspension for each dose; it has no preservatives.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Gently rub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nystatin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cream or ointment into skin at affected area. Keep area dry and avoid occlusive dressings.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Don’t get topical form in patient’s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eyes.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When treating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candidal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infection of feet, dust patient’s shoes, socks, and feet.</w:t>
            </w:r>
          </w:p>
          <w:p w:rsidR="005447DD" w:rsidRPr="00001FE5" w:rsidRDefault="00597507" w:rsidP="005447DD">
            <w:pPr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vaginal form, use applicator supplied by manufacturer.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 xml:space="preserve">Nursing </w:t>
            </w:r>
          </w:p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Interventions</w:t>
            </w:r>
          </w:p>
        </w:tc>
        <w:tc>
          <w:tcPr>
            <w:tcW w:w="5400" w:type="dxa"/>
          </w:tcPr>
          <w:p w:rsidR="004B0300" w:rsidRPr="004B0300" w:rsidRDefault="004B0300" w:rsidP="004B030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</w:rPr>
              <w:t xml:space="preserve">Give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</w:rPr>
              <w:t>lansoprazole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before meals, preferably in the morning for once-daily dosing. If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neces-sary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, also give an antacid, as prescribed.</w:t>
            </w:r>
          </w:p>
          <w:p w:rsidR="004B0300" w:rsidRPr="004B0300" w:rsidRDefault="004B0300" w:rsidP="004B030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sz w:val="20"/>
                <w:szCs w:val="20"/>
              </w:rPr>
              <w:t>If needed, open capsule and sprinkle enteric-coated granules on applesauce or yogurt or mix with water or acidic fruit juice, such as apple or cranberry juice. Give immediately.</w:t>
            </w:r>
          </w:p>
          <w:p w:rsidR="004B0300" w:rsidRPr="004B0300" w:rsidRDefault="004B0300" w:rsidP="004B030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To give drug via NG tube, mix granules in acidic juice because enteric coating dissolves in alkaline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pH.</w:t>
            </w:r>
            <w:proofErr w:type="spellEnd"/>
          </w:p>
          <w:p w:rsidR="004B0300" w:rsidRPr="004B0300" w:rsidRDefault="004B0300" w:rsidP="004B030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Because drug can interfere with absorption of vitamin B12, monitor for </w:t>
            </w:r>
            <w:proofErr w:type="spellStart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>macrocytic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anemia.</w:t>
            </w:r>
          </w:p>
          <w:p w:rsidR="004B0300" w:rsidRPr="004B0300" w:rsidRDefault="004B0300" w:rsidP="004B030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sz w:val="20"/>
                <w:szCs w:val="20"/>
              </w:rPr>
              <w:t>Be aw</w:t>
            </w:r>
            <w:r w:rsidRPr="00001FE5">
              <w:rPr>
                <w:rFonts w:ascii="Arial" w:eastAsia="Times New Roman" w:hAnsi="Arial" w:cs="Arial"/>
                <w:sz w:val="20"/>
                <w:szCs w:val="20"/>
              </w:rPr>
              <w:t xml:space="preserve">are that long-term use of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</w:rPr>
              <w:t>lansoprazole</w:t>
            </w:r>
            <w:proofErr w:type="spellEnd"/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 may increase the risk of gastric carcinoma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Client Education</w:t>
            </w:r>
          </w:p>
        </w:tc>
        <w:tc>
          <w:tcPr>
            <w:tcW w:w="4680" w:type="dxa"/>
          </w:tcPr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Instruct patient to let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nystatin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lozenges dissolve slowly in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her mouth, not to chew or swallow them.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Tell patient to swish oral suspension in her mouth as long as possible before swallowing.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Advise patient to gently rub ointment or cream into skin at affected area, to keep area dry, and to avoid occlusive dressings</w:t>
            </w: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Caution patient to keep topical form away from her eyes.</w:t>
            </w:r>
          </w:p>
          <w:p w:rsidR="005447DD" w:rsidRPr="00001FE5" w:rsidRDefault="00597507" w:rsidP="005447D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Advise patient with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candidal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infection of feet to dust her shoes, socks, and feet with </w:t>
            </w:r>
            <w:proofErr w:type="spellStart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nystatin</w:t>
            </w:r>
            <w:proofErr w:type="spellEnd"/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.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vaginal form, tell patient to insert it with applicator supplied by manufacturer.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lastRenderedPageBreak/>
              <w:t>Client E</w:t>
            </w:r>
            <w:r w:rsidRPr="00001FE5">
              <w:rPr>
                <w:rFonts w:ascii="Arial" w:hAnsi="Arial" w:cs="Arial"/>
                <w:sz w:val="20"/>
                <w:szCs w:val="20"/>
              </w:rPr>
              <w:t>ducation</w:t>
            </w:r>
          </w:p>
        </w:tc>
        <w:tc>
          <w:tcPr>
            <w:tcW w:w="5400" w:type="dxa"/>
          </w:tcPr>
          <w:p w:rsidR="004B0300" w:rsidRPr="004B0300" w:rsidRDefault="004B0300" w:rsidP="004B030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sz w:val="20"/>
                <w:szCs w:val="20"/>
              </w:rPr>
              <w:t>Tell patient to take drug before eating—usually before breakfast—and to swallow delayed-release capsules or tablets whole. If needed, patient may sprinkle contents of capsule onto 1 tablespoon of applesauce and swallow immediately without chewing pellets. Tell him to follow with a glass of cool water and not to keep any leftover mixture.</w:t>
            </w:r>
          </w:p>
          <w:p w:rsidR="004B0300" w:rsidRPr="004B0300" w:rsidRDefault="004B0300" w:rsidP="004B030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sz w:val="20"/>
                <w:szCs w:val="20"/>
              </w:rPr>
              <w:t>If patient takes the oral suspension, tell him to empty the package into a small cup containing 2 tablespoons of water (no other beverage should be used), stir the mixture well, drink it immediately, refill the cup with water, and drink again.</w:t>
            </w:r>
          </w:p>
          <w:p w:rsidR="004B0300" w:rsidRPr="004B0300" w:rsidRDefault="004B0300" w:rsidP="004B030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sz w:val="20"/>
                <w:szCs w:val="20"/>
              </w:rPr>
              <w:t>Encourage patient to avoid alcohol, aspirin products, ibuprofen, and foods that may increase gastric secretions during therapy. Tell him to notify all prescribers about prescription drug use.</w:t>
            </w:r>
          </w:p>
          <w:p w:rsidR="004B0300" w:rsidRPr="004B0300" w:rsidRDefault="004B0300" w:rsidP="004B030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sz w:val="20"/>
                <w:szCs w:val="20"/>
              </w:rPr>
              <w:t>Advise patient to notify prescriber immediately about abdominal pain or diarrhea.</w:t>
            </w:r>
          </w:p>
          <w:p w:rsidR="004B0300" w:rsidRPr="004B0300" w:rsidRDefault="004B0300" w:rsidP="004B030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4B0300">
              <w:rPr>
                <w:rFonts w:ascii="Arial" w:eastAsia="Times New Roman" w:hAnsi="Arial" w:cs="Arial"/>
                <w:sz w:val="20"/>
                <w:szCs w:val="20"/>
              </w:rPr>
              <w:t xml:space="preserve">Urge female patient of childbearing age to use </w:t>
            </w:r>
            <w:r w:rsidRPr="004B030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effective contraception during therapy and to inform prescriber immediately if she becomes or suspects she may be pregnant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vMerge/>
            <w:tcBorders>
              <w:bottom w:val="nil"/>
            </w:tcBorders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lastRenderedPageBreak/>
              <w:t xml:space="preserve">Medication &amp; 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  <w:tc>
          <w:tcPr>
            <w:tcW w:w="4680" w:type="dxa"/>
          </w:tcPr>
          <w:p w:rsidR="005447DD" w:rsidRPr="00001FE5" w:rsidRDefault="004B03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1FE5">
              <w:rPr>
                <w:rFonts w:ascii="Arial" w:hAnsi="Arial" w:cs="Arial"/>
                <w:sz w:val="20"/>
                <w:szCs w:val="20"/>
              </w:rPr>
              <w:t>Fluticasone</w:t>
            </w:r>
            <w:proofErr w:type="spellEnd"/>
            <w:r w:rsidRPr="00001F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1FE5">
              <w:rPr>
                <w:rFonts w:ascii="Arial" w:hAnsi="Arial" w:cs="Arial"/>
                <w:sz w:val="20"/>
                <w:szCs w:val="20"/>
              </w:rPr>
              <w:t>propinate</w:t>
            </w:r>
            <w:proofErr w:type="spellEnd"/>
            <w:r w:rsidRPr="00001FE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01FE5">
              <w:rPr>
                <w:rFonts w:ascii="Arial" w:hAnsi="Arial" w:cs="Arial"/>
                <w:sz w:val="20"/>
                <w:szCs w:val="20"/>
              </w:rPr>
              <w:t>Flovent</w:t>
            </w:r>
            <w:proofErr w:type="spellEnd"/>
            <w:r w:rsidRPr="00001FE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B0300" w:rsidRPr="00001FE5" w:rsidRDefault="004B0300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Therapeutic: anti- asthmatic, anti-inflammatory</w:t>
            </w:r>
          </w:p>
          <w:p w:rsidR="00F1336A" w:rsidRPr="00001FE5" w:rsidRDefault="00F1336A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 xml:space="preserve">Pharmacological: </w:t>
            </w:r>
            <w:proofErr w:type="spellStart"/>
            <w:r w:rsidRPr="00001FE5">
              <w:rPr>
                <w:rFonts w:ascii="Arial" w:hAnsi="Arial" w:cs="Arial"/>
                <w:sz w:val="20"/>
                <w:szCs w:val="20"/>
              </w:rPr>
              <w:t>trifluorinated</w:t>
            </w:r>
            <w:proofErr w:type="spellEnd"/>
            <w:r w:rsidRPr="00001FE5">
              <w:rPr>
                <w:rFonts w:ascii="Arial" w:hAnsi="Arial" w:cs="Arial"/>
                <w:sz w:val="20"/>
                <w:szCs w:val="20"/>
              </w:rPr>
              <w:t xml:space="preserve"> corticosteroid</w:t>
            </w: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 xml:space="preserve">Medication &amp; </w:t>
            </w:r>
          </w:p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  <w:tc>
          <w:tcPr>
            <w:tcW w:w="5400" w:type="dxa"/>
          </w:tcPr>
          <w:p w:rsidR="005447DD" w:rsidRPr="00001FE5" w:rsidRDefault="00001FE5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Pediatric Vitamins</w:t>
            </w:r>
          </w:p>
        </w:tc>
        <w:tc>
          <w:tcPr>
            <w:tcW w:w="2502" w:type="dxa"/>
            <w:vMerge w:val="restart"/>
            <w:tcBorders>
              <w:top w:val="nil"/>
            </w:tcBorders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Ordered Dose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(Include frequency)</w:t>
            </w:r>
          </w:p>
        </w:tc>
        <w:tc>
          <w:tcPr>
            <w:tcW w:w="4680" w:type="dxa"/>
          </w:tcPr>
          <w:p w:rsidR="005447DD" w:rsidRPr="00001FE5" w:rsidRDefault="00F1336A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Route: INH</w:t>
            </w:r>
          </w:p>
          <w:p w:rsidR="00F1336A" w:rsidRPr="00001FE5" w:rsidRDefault="00F1336A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Dose: BID 2 Puff, 0900 2100</w:t>
            </w: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Ordered Dose</w:t>
            </w:r>
          </w:p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Include frequency</w:t>
            </w:r>
          </w:p>
        </w:tc>
        <w:tc>
          <w:tcPr>
            <w:tcW w:w="5400" w:type="dxa"/>
          </w:tcPr>
          <w:p w:rsidR="005447DD" w:rsidRPr="00001FE5" w:rsidRDefault="00001FE5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Dose: 1 ml</w:t>
            </w:r>
          </w:p>
          <w:p w:rsidR="00001FE5" w:rsidRPr="00001FE5" w:rsidRDefault="00001FE5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Route: G Tube Daily 0900</w:t>
            </w:r>
          </w:p>
        </w:tc>
        <w:tc>
          <w:tcPr>
            <w:tcW w:w="2502" w:type="dxa"/>
            <w:vMerge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 xml:space="preserve">Recommended 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Dose</w:t>
            </w:r>
          </w:p>
        </w:tc>
        <w:tc>
          <w:tcPr>
            <w:tcW w:w="4680" w:type="dxa"/>
          </w:tcPr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Children ages 4 to 11.</w:t>
            </w:r>
          </w:p>
          <w:p w:rsidR="005447DD" w:rsidRPr="00001FE5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01FE5">
              <w:rPr>
                <w:rFonts w:ascii="Arial" w:eastAsia="Times New Roman" w:hAnsi="Arial" w:cs="Arial"/>
                <w:sz w:val="20"/>
                <w:szCs w:val="20"/>
              </w:rPr>
              <w:t xml:space="preserve">50 or 100 mcg (1 or 2 sprays) in each nostril daily in the morning, as needed. </w:t>
            </w:r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Maximum:</w:t>
            </w:r>
            <w:r w:rsidRPr="00001FE5">
              <w:rPr>
                <w:rFonts w:ascii="Arial" w:eastAsia="Times New Roman" w:hAnsi="Arial" w:cs="Arial"/>
                <w:sz w:val="20"/>
                <w:szCs w:val="20"/>
              </w:rPr>
              <w:t xml:space="preserve"> 200 mcg daily (4 sprays).</w:t>
            </w:r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Children ages 2 to 11.</w:t>
            </w:r>
          </w:p>
          <w:p w:rsidR="00F1336A" w:rsidRPr="00001FE5" w:rsidRDefault="00F1336A" w:rsidP="00F1336A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Initial:</w:t>
            </w:r>
            <w:r w:rsidRPr="00001FE5">
              <w:rPr>
                <w:rFonts w:ascii="Arial" w:eastAsia="Times New Roman" w:hAnsi="Arial" w:cs="Arial"/>
                <w:sz w:val="20"/>
                <w:szCs w:val="20"/>
              </w:rPr>
              <w:t xml:space="preserve"> 55 mcg (1 spray) in each nostril once daily, increased to 110 mcg (2 sprays) in each nostril once daily, as needed. </w:t>
            </w:r>
            <w:r w:rsidRPr="00001FE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Maintenance:</w:t>
            </w:r>
            <w:r w:rsidRPr="00001FE5">
              <w:rPr>
                <w:rFonts w:ascii="Arial" w:eastAsia="Times New Roman" w:hAnsi="Arial" w:cs="Arial"/>
                <w:sz w:val="20"/>
                <w:szCs w:val="20"/>
              </w:rPr>
              <w:t xml:space="preserve"> 55 mcg (1 spray) in each nostril once daily</w:t>
            </w: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 xml:space="preserve">Recommended </w:t>
            </w:r>
          </w:p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Dose</w:t>
            </w:r>
          </w:p>
        </w:tc>
        <w:tc>
          <w:tcPr>
            <w:tcW w:w="5400" w:type="dxa"/>
          </w:tcPr>
          <w:p w:rsidR="005447DD" w:rsidRPr="00001FE5" w:rsidRDefault="00001FE5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Can't Find further information on this medication</w:t>
            </w:r>
          </w:p>
        </w:tc>
        <w:tc>
          <w:tcPr>
            <w:tcW w:w="2502" w:type="dxa"/>
            <w:vMerge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Food &amp; Medication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Interactions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="00F1336A" w:rsidRPr="00F1336A" w:rsidRDefault="00F1336A" w:rsidP="00F1336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Drugs</w:t>
            </w:r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1336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ketoconazole</w:t>
            </w:r>
            <w:proofErr w:type="spellEnd"/>
            <w:r w:rsidRPr="00F1336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F1336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ritonavir</w:t>
            </w:r>
            <w:proofErr w:type="spellEnd"/>
            <w:r w:rsidRPr="00F1336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and other strong </w:t>
            </w:r>
            <w:proofErr w:type="spellStart"/>
            <w:r w:rsidRPr="00F1336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cytochrome</w:t>
            </w:r>
            <w:proofErr w:type="spellEnd"/>
            <w:r w:rsidRPr="00F1336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P-450 3A4 inhibitors (long-term use):</w:t>
            </w:r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 Possibly increased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fluticasone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 level and increased risk of reduced serum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cortisol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 level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Food &amp; Medication</w:t>
            </w:r>
          </w:p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Interactions</w:t>
            </w:r>
          </w:p>
        </w:tc>
        <w:tc>
          <w:tcPr>
            <w:tcW w:w="5400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Side</w:t>
            </w:r>
            <w:r w:rsidRPr="00001FE5">
              <w:rPr>
                <w:rFonts w:ascii="Arial" w:hAnsi="Arial" w:cs="Arial"/>
                <w:sz w:val="20"/>
                <w:szCs w:val="20"/>
              </w:rPr>
              <w:t xml:space="preserve"> Effects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CNS:</w:t>
            </w:r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>Aggressiveness, agitation, depression, difficulty speaking, dizziness, fatigue, fever, headache, insomnia, malaise, restlessness</w:t>
            </w:r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EENT:</w:t>
            </w:r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Allergic rhinitis, cataracts, conjunctivitis, dry mouth and throat, eye irritation, glaucoma, hoarseness, laryngitis, loss of voice, nasal congestion or discharge, nasal sinus pain,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oropharyngeal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candidiasis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otitis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 media,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pharyngitis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, sinusitis, throat irritation, tonsillitis</w:t>
            </w:r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ENDO:</w:t>
            </w:r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Adrenal insufficiency,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cushingoid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 symptoms, hyperglycemia, slower growth in children</w:t>
            </w:r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GI:</w:t>
            </w:r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>Abdominal pain, diarrhea, indigestion, nausea, vomiting</w:t>
            </w:r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GU:</w:t>
            </w:r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Dysmenorrhea</w:t>
            </w:r>
            <w:proofErr w:type="spellEnd"/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HEME:</w:t>
            </w:r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Churg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-Strauss syndrome, easy bruising,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eosinophilia</w:t>
            </w:r>
            <w:proofErr w:type="spellEnd"/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MS:</w:t>
            </w:r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Arthralgia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myalgia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, osteoporosis</w:t>
            </w:r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RESP:</w:t>
            </w:r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Asthma exacerbation, bronchitis, bronchospasm, chest congestion and tightness, cough,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dyspnea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, pneumonia, upper respiratory tract infection, wheezing</w:t>
            </w:r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SKIN:</w:t>
            </w:r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Dermatitis,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ecchymosis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pruritus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, rash,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urticaria</w:t>
            </w:r>
            <w:proofErr w:type="spellEnd"/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Other:</w:t>
            </w:r>
          </w:p>
          <w:p w:rsidR="00F1336A" w:rsidRPr="00F1336A" w:rsidRDefault="00F1336A" w:rsidP="00F133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Anaphylaxis,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angioedema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, flulike symptoms, weight gain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lastRenderedPageBreak/>
              <w:t>Side Effects</w:t>
            </w:r>
          </w:p>
        </w:tc>
        <w:tc>
          <w:tcPr>
            <w:tcW w:w="5400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lastRenderedPageBreak/>
              <w:t xml:space="preserve">Nursing 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Interventions</w:t>
            </w:r>
          </w:p>
        </w:tc>
        <w:tc>
          <w:tcPr>
            <w:tcW w:w="4680" w:type="dxa"/>
          </w:tcPr>
          <w:p w:rsidR="00F1336A" w:rsidRPr="00F1336A" w:rsidRDefault="00F1336A" w:rsidP="00F133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Use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fluticasone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 cautiously in patients with ocular herpes simplex, pulmonary tuberculosis, or untreated systemic bacterial, fungal, parasitic, or viral infection.</w:t>
            </w:r>
          </w:p>
          <w:p w:rsidR="00F1336A" w:rsidRPr="00F1336A" w:rsidRDefault="00F1336A" w:rsidP="00F133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>Although anaphylaxis is rare, monitor patient closely at start of therapy, especially if patient has severe allergy to milk.</w:t>
            </w:r>
          </w:p>
          <w:p w:rsidR="00F1336A" w:rsidRPr="00F1336A" w:rsidRDefault="00F1336A" w:rsidP="00F133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If patient takes a systemic corticosteroid, expect to taper dosage by no more than 2.5 mg daily at weekly intervals, starting 1 week after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fluticasone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 therapy begins.</w:t>
            </w:r>
          </w:p>
          <w:p w:rsidR="00F1336A" w:rsidRPr="00F1336A" w:rsidRDefault="00F1336A" w:rsidP="00F133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WARNING If patient is switched from systemic corticosteroid to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fluticasone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, assess for adrenal insufficiency (fatigue, hypotension, lassitude, nausea, vomiting, weakness) early in therapy and when </w:t>
            </w:r>
            <w:r w:rsidRPr="00F133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patient has infection, stress, trauma, surgery, or other electrolyte-depleting conditions or procedures. Notify prescriber immediately if signs or symptoms develop.</w:t>
            </w:r>
          </w:p>
          <w:p w:rsidR="00F1336A" w:rsidRPr="00F1336A" w:rsidRDefault="00F1336A" w:rsidP="00F133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As prescribed, administer a fast-acting inhaled bronchodilator if bronchospasm occurs immediately after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fluticasone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 use. Expect to stop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fluticasone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 and start another drug therapy.</w:t>
            </w:r>
          </w:p>
          <w:p w:rsidR="00F1336A" w:rsidRPr="00F1336A" w:rsidRDefault="00F1336A" w:rsidP="00F1336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Expect to titrate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fluticasone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 to lowest effective dosage after asthma has stabilized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lastRenderedPageBreak/>
              <w:t xml:space="preserve">Nursing </w:t>
            </w:r>
          </w:p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Interventions</w:t>
            </w:r>
          </w:p>
        </w:tc>
        <w:tc>
          <w:tcPr>
            <w:tcW w:w="5400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lastRenderedPageBreak/>
              <w:t>Client Education</w:t>
            </w:r>
          </w:p>
        </w:tc>
        <w:tc>
          <w:tcPr>
            <w:tcW w:w="4680" w:type="dxa"/>
          </w:tcPr>
          <w:p w:rsidR="00F1336A" w:rsidRPr="00F1336A" w:rsidRDefault="00F1336A" w:rsidP="00F1336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Urge patient to use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fluticasone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 regularly, as prescribed, but not for acute bronchospasm.</w:t>
            </w:r>
          </w:p>
          <w:p w:rsidR="00F1336A" w:rsidRPr="00F1336A" w:rsidRDefault="00F1336A" w:rsidP="00F1336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>Teach patient how to administer drug according to the form prescribed (nasal spray or oral inhaler).</w:t>
            </w:r>
          </w:p>
          <w:p w:rsidR="00F1336A" w:rsidRPr="00F1336A" w:rsidRDefault="00F1336A" w:rsidP="00F1336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>Instruct patient to shake canister and to use inhaler according to package insert instructions. On first use, advise her to spray 4 times into the air (away from her eyes and shaking inhaler between each test spray) and look for a fine mist. If inhaler hasn’t been used for more than 7 days or it’s dropped, it will need to be primed again by shaking well and then releasing 1 test spray into the air (away from her face).</w:t>
            </w:r>
          </w:p>
          <w:p w:rsidR="00F1336A" w:rsidRPr="00F1336A" w:rsidRDefault="00F1336A" w:rsidP="00F1336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If 2 inhalations are prescribed, direct </w:t>
            </w:r>
            <w:r w:rsidRPr="00F133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patient to wait at least 1 minute between them.</w:t>
            </w:r>
          </w:p>
          <w:p w:rsidR="00F1336A" w:rsidRPr="00F1336A" w:rsidRDefault="00F1336A" w:rsidP="00F1336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Instruct patient to gargle and rinse her mouth after each dose to help prevent dry mouth and throat, relieve throat irritation, and prevent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oropharyngeal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 yeast infection.</w:t>
            </w:r>
          </w:p>
          <w:p w:rsidR="00F1336A" w:rsidRPr="00F1336A" w:rsidRDefault="00F1336A" w:rsidP="00F1336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If patient uses more than 1 inhaler, instruct her to use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fluticasone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 last, at least 5 minutes after previous inhaler.</w:t>
            </w:r>
          </w:p>
          <w:p w:rsidR="00F1336A" w:rsidRPr="00F1336A" w:rsidRDefault="00F1336A" w:rsidP="00F1336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>Instruct patient to clean inhaler according to manufacturer guidelines at least once a week after her evening dose.</w:t>
            </w:r>
          </w:p>
          <w:p w:rsidR="00F1336A" w:rsidRPr="00F1336A" w:rsidRDefault="00F1336A" w:rsidP="00F1336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>Inform patient that, when counter reads 020, she should obtain a refill, if needed. When counter reaches 000, she should discard the inhaler.</w:t>
            </w:r>
          </w:p>
          <w:p w:rsidR="00F1336A" w:rsidRPr="00F1336A" w:rsidRDefault="00F1336A" w:rsidP="00F1336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>Instruct patient using nasal spray to shake container well before each use.</w:t>
            </w:r>
          </w:p>
          <w:p w:rsidR="00F1336A" w:rsidRPr="00F1336A" w:rsidRDefault="00F1336A" w:rsidP="00F1336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>Explain that symptoms may improve within 2 days but that full improvement may not occur for 1 to 2 weeks or longer.</w:t>
            </w:r>
          </w:p>
          <w:p w:rsidR="00F1336A" w:rsidRPr="00F1336A" w:rsidRDefault="00F1336A" w:rsidP="00F1336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>Caution patient not to increase dosage but to contact prescriber after 1 week if symptoms continue or worsen.</w:t>
            </w:r>
          </w:p>
          <w:p w:rsidR="00F1336A" w:rsidRPr="00F1336A" w:rsidRDefault="00F1336A" w:rsidP="00F1336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Instruct patient to notify prescriber immediately if asthma attacks don’t respond to bronchodilators during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fluticasone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 therapy.</w:t>
            </w:r>
          </w:p>
          <w:p w:rsidR="00F1336A" w:rsidRPr="00F1336A" w:rsidRDefault="00F1336A" w:rsidP="00F1336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If patient is switching from an oral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cortico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-steroid to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fluticasone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, urge her to carry medical identification indicating the need for supplemental systemic corticosteroids during stress or severe asthma attack.</w:t>
            </w:r>
          </w:p>
          <w:p w:rsidR="00F1336A" w:rsidRPr="00F1336A" w:rsidRDefault="00F1336A" w:rsidP="00F1336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Caution patient to avoid contact with people who have infections because </w:t>
            </w:r>
            <w:proofErr w:type="spellStart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>fluticasone</w:t>
            </w:r>
            <w:proofErr w:type="spellEnd"/>
            <w:r w:rsidRPr="00F1336A">
              <w:rPr>
                <w:rFonts w:ascii="Arial" w:eastAsia="Times New Roman" w:hAnsi="Arial" w:cs="Arial"/>
                <w:sz w:val="20"/>
                <w:szCs w:val="20"/>
              </w:rPr>
              <w:t xml:space="preserve"> suppresses the immune system, increasing the risk of infection. Instruct patient to notify prescriber about </w:t>
            </w:r>
            <w:r w:rsidRPr="00F133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exposure to chickenpox, measles, or other infections because additional treatment may be needed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lastRenderedPageBreak/>
              <w:t>Client Education</w:t>
            </w:r>
          </w:p>
        </w:tc>
        <w:tc>
          <w:tcPr>
            <w:tcW w:w="5400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vMerge/>
            <w:tcBorders>
              <w:bottom w:val="nil"/>
            </w:tcBorders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lastRenderedPageBreak/>
              <w:t xml:space="preserve">Medication &amp; 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  <w:tc>
          <w:tcPr>
            <w:tcW w:w="4680" w:type="dxa"/>
          </w:tcPr>
          <w:p w:rsidR="005447DD" w:rsidRPr="00001FE5" w:rsidRDefault="00001FE5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Skin Protective Paste</w:t>
            </w: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 xml:space="preserve">Medication &amp; </w:t>
            </w:r>
          </w:p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  <w:tc>
          <w:tcPr>
            <w:tcW w:w="5400" w:type="dxa"/>
          </w:tcPr>
          <w:p w:rsidR="005447DD" w:rsidRPr="00001FE5" w:rsidRDefault="00001FE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1FE5">
              <w:rPr>
                <w:rFonts w:ascii="Arial" w:hAnsi="Arial" w:cs="Arial"/>
                <w:sz w:val="20"/>
                <w:szCs w:val="20"/>
              </w:rPr>
              <w:t>Ceramides</w:t>
            </w:r>
            <w:proofErr w:type="spellEnd"/>
            <w:r w:rsidRPr="00001FE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01FE5">
              <w:rPr>
                <w:rFonts w:ascii="Arial" w:hAnsi="Arial" w:cs="Arial"/>
                <w:sz w:val="20"/>
                <w:szCs w:val="20"/>
              </w:rPr>
              <w:t>Cereve</w:t>
            </w:r>
            <w:proofErr w:type="spellEnd"/>
            <w:r w:rsidRPr="00001F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02" w:type="dxa"/>
            <w:vMerge w:val="restart"/>
            <w:tcBorders>
              <w:top w:val="nil"/>
            </w:tcBorders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Ordered Dose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(Include frequency)</w:t>
            </w:r>
          </w:p>
        </w:tc>
        <w:tc>
          <w:tcPr>
            <w:tcW w:w="4680" w:type="dxa"/>
          </w:tcPr>
          <w:p w:rsidR="005447DD" w:rsidRPr="00001FE5" w:rsidRDefault="00001FE5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PRN- For sore or red bottom apply liberally</w:t>
            </w:r>
          </w:p>
          <w:p w:rsidR="00001FE5" w:rsidRPr="00001FE5" w:rsidRDefault="00001FE5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Cannot find further information on this medication</w:t>
            </w: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Ordered Dose</w:t>
            </w:r>
          </w:p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Include freque</w:t>
            </w:r>
            <w:r w:rsidRPr="00001FE5">
              <w:rPr>
                <w:rFonts w:ascii="Arial" w:hAnsi="Arial" w:cs="Arial"/>
                <w:sz w:val="20"/>
                <w:szCs w:val="20"/>
              </w:rPr>
              <w:t>ncy</w:t>
            </w:r>
          </w:p>
        </w:tc>
        <w:tc>
          <w:tcPr>
            <w:tcW w:w="5400" w:type="dxa"/>
          </w:tcPr>
          <w:p w:rsidR="005447DD" w:rsidRPr="00001FE5" w:rsidRDefault="00001FE5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Dose: I each topical daily 0900, or PRN</w:t>
            </w:r>
          </w:p>
          <w:p w:rsidR="00001FE5" w:rsidRPr="00001FE5" w:rsidRDefault="00001FE5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Cannot find further information on this medication</w:t>
            </w:r>
          </w:p>
        </w:tc>
        <w:tc>
          <w:tcPr>
            <w:tcW w:w="2502" w:type="dxa"/>
            <w:vMerge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 xml:space="preserve">Recommended 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Dose</w:t>
            </w:r>
          </w:p>
        </w:tc>
        <w:tc>
          <w:tcPr>
            <w:tcW w:w="4680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 xml:space="preserve">Recommended </w:t>
            </w:r>
          </w:p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Dose</w:t>
            </w:r>
          </w:p>
        </w:tc>
        <w:tc>
          <w:tcPr>
            <w:tcW w:w="5400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Food &amp; Medication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Interactions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Food &amp; Medication</w:t>
            </w:r>
          </w:p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Interactions</w:t>
            </w:r>
          </w:p>
        </w:tc>
        <w:tc>
          <w:tcPr>
            <w:tcW w:w="5400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Side Effects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Side Effects</w:t>
            </w:r>
          </w:p>
        </w:tc>
        <w:tc>
          <w:tcPr>
            <w:tcW w:w="5400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 xml:space="preserve">Nursing </w:t>
            </w: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Interventions</w:t>
            </w:r>
          </w:p>
        </w:tc>
        <w:tc>
          <w:tcPr>
            <w:tcW w:w="4680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 xml:space="preserve">Nursing </w:t>
            </w:r>
          </w:p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Interventions</w:t>
            </w:r>
          </w:p>
        </w:tc>
        <w:tc>
          <w:tcPr>
            <w:tcW w:w="5400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7DD" w:rsidRPr="00001FE5">
        <w:tc>
          <w:tcPr>
            <w:tcW w:w="1998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t>Client Education</w:t>
            </w:r>
          </w:p>
        </w:tc>
        <w:tc>
          <w:tcPr>
            <w:tcW w:w="4680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5447DD" w:rsidRPr="00001FE5" w:rsidRDefault="00597507" w:rsidP="005447DD">
            <w:pPr>
              <w:rPr>
                <w:rFonts w:ascii="Arial" w:hAnsi="Arial" w:cs="Arial"/>
                <w:sz w:val="20"/>
                <w:szCs w:val="20"/>
              </w:rPr>
            </w:pPr>
            <w:r w:rsidRPr="00001FE5">
              <w:rPr>
                <w:rFonts w:ascii="Arial" w:hAnsi="Arial" w:cs="Arial"/>
                <w:sz w:val="20"/>
                <w:szCs w:val="20"/>
              </w:rPr>
              <w:lastRenderedPageBreak/>
              <w:t>Client Education</w:t>
            </w:r>
          </w:p>
        </w:tc>
        <w:tc>
          <w:tcPr>
            <w:tcW w:w="5400" w:type="dxa"/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vMerge/>
            <w:tcBorders>
              <w:bottom w:val="nil"/>
            </w:tcBorders>
          </w:tcPr>
          <w:p w:rsidR="005447DD" w:rsidRPr="00001FE5" w:rsidRDefault="00597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47DD" w:rsidRPr="00001FE5" w:rsidRDefault="00597507">
      <w:pPr>
        <w:rPr>
          <w:rFonts w:ascii="Arial" w:hAnsi="Arial" w:cs="Arial"/>
          <w:sz w:val="20"/>
          <w:szCs w:val="20"/>
        </w:rPr>
      </w:pPr>
    </w:p>
    <w:p w:rsidR="005447DD" w:rsidRPr="00001FE5" w:rsidRDefault="00597507">
      <w:pPr>
        <w:rPr>
          <w:rFonts w:ascii="Arial" w:hAnsi="Arial" w:cs="Arial"/>
          <w:sz w:val="20"/>
          <w:szCs w:val="20"/>
        </w:rPr>
      </w:pPr>
    </w:p>
    <w:p w:rsidR="005447DD" w:rsidRPr="00001FE5" w:rsidRDefault="00597507">
      <w:pPr>
        <w:rPr>
          <w:rFonts w:ascii="Arial" w:hAnsi="Arial" w:cs="Arial"/>
          <w:sz w:val="20"/>
          <w:szCs w:val="20"/>
        </w:rPr>
      </w:pPr>
    </w:p>
    <w:p w:rsidR="005447DD" w:rsidRPr="00001FE5" w:rsidRDefault="00597507">
      <w:pPr>
        <w:rPr>
          <w:rFonts w:ascii="Arial" w:hAnsi="Arial" w:cs="Arial"/>
          <w:sz w:val="20"/>
          <w:szCs w:val="20"/>
        </w:rPr>
      </w:pPr>
    </w:p>
    <w:sectPr w:rsidR="005447DD" w:rsidRPr="00001FE5" w:rsidSect="005447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507" w:rsidRDefault="00597507" w:rsidP="005447DD">
      <w:r>
        <w:separator/>
      </w:r>
    </w:p>
  </w:endnote>
  <w:endnote w:type="continuationSeparator" w:id="0">
    <w:p w:rsidR="00597507" w:rsidRDefault="00597507" w:rsidP="00544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7DD" w:rsidRDefault="005975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7DD" w:rsidRDefault="0059750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7DD" w:rsidRDefault="005975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507" w:rsidRDefault="00597507" w:rsidP="005447DD">
      <w:r>
        <w:separator/>
      </w:r>
    </w:p>
  </w:footnote>
  <w:footnote w:type="continuationSeparator" w:id="0">
    <w:p w:rsidR="00597507" w:rsidRDefault="00597507" w:rsidP="00544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7DD" w:rsidRDefault="005975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7DD" w:rsidRDefault="00597507">
    <w:pPr>
      <w:pStyle w:val="Header"/>
    </w:pPr>
    <w:r>
      <w:t xml:space="preserve">                                                                                               Firelands Regional Medical Center School of Nursing</w:t>
    </w:r>
  </w:p>
  <w:p w:rsidR="005447DD" w:rsidRDefault="00597507">
    <w:pPr>
      <w:pStyle w:val="Header"/>
    </w:pPr>
    <w:r>
      <w:t xml:space="preserve">                                                                                             </w:t>
    </w:r>
    <w:r>
      <w:t xml:space="preserve">                Maternal-Child Medication Profile</w:t>
    </w:r>
  </w:p>
  <w:p w:rsidR="005447DD" w:rsidRDefault="0059750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7DD" w:rsidRDefault="005975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E109A8C"/>
    <w:lvl w:ilvl="0" w:tplc="00010000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CB7796"/>
    <w:multiLevelType w:val="multilevel"/>
    <w:tmpl w:val="ED7A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42767"/>
    <w:multiLevelType w:val="multilevel"/>
    <w:tmpl w:val="E73A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B2E3B"/>
    <w:multiLevelType w:val="hybridMultilevel"/>
    <w:tmpl w:val="4E2079FC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8D3485"/>
    <w:multiLevelType w:val="multilevel"/>
    <w:tmpl w:val="17C4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7664F7"/>
    <w:multiLevelType w:val="multilevel"/>
    <w:tmpl w:val="39CC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82C"/>
    <w:rsid w:val="00001FE5"/>
    <w:rsid w:val="004B0300"/>
    <w:rsid w:val="00512895"/>
    <w:rsid w:val="00597507"/>
    <w:rsid w:val="00F1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C45"/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4B0300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2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82C"/>
  </w:style>
  <w:style w:type="paragraph" w:styleId="Footer">
    <w:name w:val="footer"/>
    <w:basedOn w:val="Normal"/>
    <w:link w:val="FooterChar"/>
    <w:uiPriority w:val="99"/>
    <w:semiHidden/>
    <w:unhideWhenUsed/>
    <w:rsid w:val="00842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282C"/>
  </w:style>
  <w:style w:type="paragraph" w:styleId="BalloonText">
    <w:name w:val="Balloon Text"/>
    <w:basedOn w:val="Normal"/>
    <w:link w:val="BalloonTextChar"/>
    <w:uiPriority w:val="99"/>
    <w:semiHidden/>
    <w:unhideWhenUsed/>
    <w:rsid w:val="0084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2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B0300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googqs-tidbit">
    <w:name w:val="goog_qs-tidbit"/>
    <w:basedOn w:val="DefaultParagraphFont"/>
    <w:rsid w:val="004B0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8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 &amp; </vt:lpstr>
    </vt:vector>
  </TitlesOfParts>
  <Company>Firelands Regional Medical Center</Company>
  <LinksUpToDate>false</LinksUpToDate>
  <CharactersWithSpaces>17416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&amp;</dc:title>
  <dc:creator>Katheraine Vanderpool</dc:creator>
  <cp:lastModifiedBy>Owner</cp:lastModifiedBy>
  <cp:revision>2</cp:revision>
  <cp:lastPrinted>2011-08-31T00:57:00Z</cp:lastPrinted>
  <dcterms:created xsi:type="dcterms:W3CDTF">2012-10-24T16:39:00Z</dcterms:created>
  <dcterms:modified xsi:type="dcterms:W3CDTF">2012-10-24T16:39:00Z</dcterms:modified>
</cp:coreProperties>
</file>