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171884">
        <w:rPr>
          <w:color w:val="FF0000"/>
        </w:rPr>
        <w:t>L. Storm</w:t>
      </w:r>
      <w:r w:rsidR="00900395">
        <w:tab/>
      </w:r>
      <w:r>
        <w:t>OBSERVATION DATE/TIME:</w:t>
      </w:r>
      <w:r>
        <w:tab/>
      </w:r>
      <w:r w:rsidR="00FD2F7C">
        <w:rPr>
          <w:color w:val="FF0000"/>
        </w:rPr>
        <w:t>4/4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35381B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B411E1" w:rsidRDefault="00B411E1" w:rsidP="00B411E1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>
              <w:rPr>
                <w:color w:val="FF0000"/>
              </w:rPr>
              <w:t xml:space="preserve">Identified that patient was in pain, and gave pain medications. </w:t>
            </w:r>
          </w:p>
          <w:p w:rsidR="0035381B" w:rsidRPr="00B411E1" w:rsidRDefault="0035381B" w:rsidP="00B411E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35381B" w:rsidRDefault="00B411E1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35381B">
              <w:rPr>
                <w:color w:val="FF0000"/>
              </w:rPr>
              <w:t xml:space="preserve">The patient was NPO, before giving PO medications you should assess if the patient is able to swallow. </w:t>
            </w:r>
          </w:p>
          <w:p w:rsidR="0035381B" w:rsidRPr="00612E81" w:rsidRDefault="0035381B" w:rsidP="00612E81">
            <w:pPr>
              <w:spacing w:before="120" w:after="120" w:line="240" w:lineRule="auto"/>
            </w:pPr>
            <w:r w:rsidRPr="0035381B">
              <w:rPr>
                <w:color w:val="FF0000"/>
              </w:rPr>
              <w:t>-Generally focuses on the most important data but also may try to attend to less pertinent data.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35381B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5381B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B411E1" w:rsidRPr="0035381B" w:rsidRDefault="00B411E1" w:rsidP="00612E81">
            <w:pPr>
              <w:spacing w:before="120" w:after="120" w:line="240" w:lineRule="auto"/>
              <w:rPr>
                <w:color w:val="FF0000"/>
              </w:rPr>
            </w:pPr>
            <w:r w:rsidRPr="0035381B">
              <w:rPr>
                <w:color w:val="FF0000"/>
              </w:rPr>
              <w:t xml:space="preserve">-You need to review the dosage of medication before you give </w:t>
            </w:r>
            <w:proofErr w:type="gramStart"/>
            <w:r w:rsidRPr="0035381B">
              <w:rPr>
                <w:color w:val="FF0000"/>
              </w:rPr>
              <w:t>it,</w:t>
            </w:r>
            <w:proofErr w:type="gramEnd"/>
            <w:r w:rsidRPr="0035381B">
              <w:rPr>
                <w:color w:val="FF0000"/>
              </w:rPr>
              <w:t xml:space="preserve"> you gave 10 mg of morphine rather than the ordered 4mg dose. Also with narcotics you need to assess VS such as respiratory rate. </w:t>
            </w:r>
          </w:p>
          <w:p w:rsidR="00B411E1" w:rsidRPr="0035381B" w:rsidRDefault="00B411E1" w:rsidP="00B411E1">
            <w:pPr>
              <w:spacing w:before="120" w:after="120" w:line="240" w:lineRule="auto"/>
              <w:rPr>
                <w:color w:val="FF0000"/>
              </w:rPr>
            </w:pPr>
            <w:r w:rsidRPr="0035381B">
              <w:rPr>
                <w:color w:val="FF0000"/>
              </w:rPr>
              <w:t xml:space="preserve">-You contaminated the needle when you flicked it with your finger. </w:t>
            </w:r>
          </w:p>
          <w:p w:rsidR="00B411E1" w:rsidRPr="0035381B" w:rsidRDefault="00B411E1" w:rsidP="00B411E1">
            <w:pPr>
              <w:spacing w:before="120" w:after="120" w:line="240" w:lineRule="auto"/>
              <w:rPr>
                <w:color w:val="FF0000"/>
              </w:rPr>
            </w:pPr>
            <w:r w:rsidRPr="0035381B">
              <w:rPr>
                <w:color w:val="FF0000"/>
              </w:rPr>
              <w:t xml:space="preserve">-When giving LMWH you need to give it at a 90 degree. </w:t>
            </w:r>
          </w:p>
          <w:p w:rsidR="00B411E1" w:rsidRPr="00612E81" w:rsidRDefault="00B411E1" w:rsidP="00B411E1">
            <w:pPr>
              <w:spacing w:before="120" w:after="120" w:line="240" w:lineRule="auto"/>
            </w:pPr>
            <w:r w:rsidRPr="0035381B">
              <w:rPr>
                <w:color w:val="FF0000"/>
              </w:rPr>
              <w:t>-You only need to ask the patient one time for their name and date of birth if you do not leave the room.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5381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12E81" w:rsidRPr="0035381B" w:rsidRDefault="0035381B" w:rsidP="00612E81">
            <w:pPr>
              <w:spacing w:before="120" w:after="120" w:line="240" w:lineRule="auto"/>
              <w:rPr>
                <w:color w:val="FF0000"/>
              </w:rPr>
            </w:pPr>
            <w:r w:rsidRPr="0035381B">
              <w:rPr>
                <w:color w:val="FF0000"/>
              </w:rPr>
              <w:t xml:space="preserve">-Evaluates personal clinical performance. </w:t>
            </w:r>
          </w:p>
          <w:p w:rsidR="0035381B" w:rsidRPr="0035381B" w:rsidRDefault="0035381B" w:rsidP="00612E81">
            <w:pPr>
              <w:spacing w:before="120" w:after="120" w:line="240" w:lineRule="auto"/>
              <w:rPr>
                <w:color w:val="FF0000"/>
              </w:rPr>
            </w:pPr>
            <w:r w:rsidRPr="0035381B">
              <w:rPr>
                <w:color w:val="FF0000"/>
              </w:rPr>
              <w:t xml:space="preserve">Could be more systematic in evaluating weaknesses. 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71884"/>
    <w:rsid w:val="001B7DEE"/>
    <w:rsid w:val="001D3855"/>
    <w:rsid w:val="002670AF"/>
    <w:rsid w:val="00271F52"/>
    <w:rsid w:val="002B6398"/>
    <w:rsid w:val="002C49E6"/>
    <w:rsid w:val="002E5316"/>
    <w:rsid w:val="0035381B"/>
    <w:rsid w:val="00475201"/>
    <w:rsid w:val="004D0DB2"/>
    <w:rsid w:val="00517A6A"/>
    <w:rsid w:val="005211DA"/>
    <w:rsid w:val="00550093"/>
    <w:rsid w:val="00576935"/>
    <w:rsid w:val="00612E81"/>
    <w:rsid w:val="007051D0"/>
    <w:rsid w:val="008A04BC"/>
    <w:rsid w:val="008B55B7"/>
    <w:rsid w:val="008D63A1"/>
    <w:rsid w:val="00900395"/>
    <w:rsid w:val="00904FB5"/>
    <w:rsid w:val="009673AC"/>
    <w:rsid w:val="009A2618"/>
    <w:rsid w:val="00B33DAE"/>
    <w:rsid w:val="00B411E1"/>
    <w:rsid w:val="00B942D9"/>
    <w:rsid w:val="00CF2B1C"/>
    <w:rsid w:val="00CF453D"/>
    <w:rsid w:val="00DA4EEE"/>
    <w:rsid w:val="00EA3537"/>
    <w:rsid w:val="00F22FD2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2013-04-04T17:01:00Z</dcterms:created>
  <dcterms:modified xsi:type="dcterms:W3CDTF">2013-04-16T13:28:00Z</dcterms:modified>
</cp:coreProperties>
</file>