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20" w:rsidRPr="005F0D94" w:rsidRDefault="005F0D94" w:rsidP="005F0D94">
      <w:pPr>
        <w:jc w:val="center"/>
        <w:rPr>
          <w:b/>
          <w:sz w:val="28"/>
          <w:szCs w:val="28"/>
          <w:u w:val="single"/>
        </w:rPr>
      </w:pPr>
      <w:r w:rsidRPr="005F0D94">
        <w:rPr>
          <w:b/>
          <w:sz w:val="28"/>
          <w:szCs w:val="28"/>
          <w:u w:val="single"/>
        </w:rPr>
        <w:t>Guillain</w:t>
      </w:r>
      <w:r>
        <w:rPr>
          <w:b/>
          <w:sz w:val="28"/>
          <w:szCs w:val="28"/>
          <w:u w:val="single"/>
        </w:rPr>
        <w:t>-</w:t>
      </w:r>
      <w:r w:rsidRPr="005F0D94">
        <w:rPr>
          <w:b/>
          <w:sz w:val="28"/>
          <w:szCs w:val="28"/>
          <w:u w:val="single"/>
        </w:rPr>
        <w:t>Barre Syndrome</w:t>
      </w:r>
    </w:p>
    <w:p w:rsidR="005F0D94" w:rsidRDefault="005F0D94" w:rsidP="005F0D94"/>
    <w:p w:rsidR="005F0D94" w:rsidRDefault="00F64E20" w:rsidP="00A95EBB">
      <w:pPr>
        <w:ind w:left="720" w:firstLine="720"/>
      </w:pPr>
      <w:r>
        <w:t xml:space="preserve">Guillain-Barre is also </w:t>
      </w:r>
      <w:r w:rsidR="005F0D94">
        <w:t xml:space="preserve">known as </w:t>
      </w:r>
      <w:proofErr w:type="spellStart"/>
      <w:r w:rsidR="005F0D94">
        <w:t>postinfectious</w:t>
      </w:r>
      <w:proofErr w:type="spellEnd"/>
      <w:r w:rsidR="005F0D94">
        <w:t xml:space="preserve"> </w:t>
      </w:r>
      <w:proofErr w:type="spellStart"/>
      <w:r w:rsidR="005F0D94">
        <w:t>polyneuropathy</w:t>
      </w:r>
      <w:proofErr w:type="spellEnd"/>
      <w:r w:rsidR="005F0D94">
        <w:t xml:space="preserve"> or ascending </w:t>
      </w:r>
      <w:proofErr w:type="spellStart"/>
      <w:r w:rsidR="005F0D94">
        <w:t>polyneuropathic</w:t>
      </w:r>
      <w:proofErr w:type="spellEnd"/>
      <w:r w:rsidR="005F0D94">
        <w:t xml:space="preserve"> paralysis, </w:t>
      </w:r>
      <w:r w:rsidR="005D746C">
        <w:t xml:space="preserve">and “is </w:t>
      </w:r>
      <w:r w:rsidR="005F0D94">
        <w:t xml:space="preserve">characterized by ascending, symmetric paralysis that usually affects cranial nerves and the peripheral nervous system.”  A potentially fatal form of polyneuritis, it is acute and rapidly progresses.  </w:t>
      </w:r>
      <w:r w:rsidR="002E0440">
        <w:t xml:space="preserve">Guillain-Barre </w:t>
      </w:r>
      <w:r w:rsidR="005F0D94">
        <w:t>etiology is unknown.</w:t>
      </w:r>
      <w:r w:rsidR="00185EEB">
        <w:t xml:space="preserve">  “The syndrome is preceded by immune system stimulation from a viral infection, trauma, surgery, viral immunizations, or the human immunodeficiency virus (HIV),” with </w:t>
      </w:r>
      <w:r w:rsidR="00185EEB" w:rsidRPr="00F64E20">
        <w:rPr>
          <w:i/>
        </w:rPr>
        <w:t xml:space="preserve">campylobacter </w:t>
      </w:r>
      <w:proofErr w:type="spellStart"/>
      <w:r w:rsidR="00185EEB" w:rsidRPr="00F64E20">
        <w:rPr>
          <w:i/>
        </w:rPr>
        <w:t>jejuni</w:t>
      </w:r>
      <w:proofErr w:type="spellEnd"/>
      <w:r w:rsidR="00185EEB">
        <w:t xml:space="preserve"> gastroenteritis preceding Guillain-Barre in approximately 30% of the cases.  “</w:t>
      </w:r>
      <w:proofErr w:type="spellStart"/>
      <w:r w:rsidR="00185EEB" w:rsidRPr="00F64E20">
        <w:rPr>
          <w:i/>
        </w:rPr>
        <w:t>Mycoplasma</w:t>
      </w:r>
      <w:proofErr w:type="spellEnd"/>
      <w:r w:rsidR="00185EEB" w:rsidRPr="00F64E20">
        <w:rPr>
          <w:i/>
        </w:rPr>
        <w:t xml:space="preserve"> </w:t>
      </w:r>
      <w:proofErr w:type="spellStart"/>
      <w:r w:rsidR="00185EEB" w:rsidRPr="00F64E20">
        <w:rPr>
          <w:i/>
        </w:rPr>
        <w:t>pneumonia</w:t>
      </w:r>
      <w:r w:rsidR="00185EEB">
        <w:t>e</w:t>
      </w:r>
      <w:proofErr w:type="spellEnd"/>
      <w:r w:rsidR="00185EEB">
        <w:t xml:space="preserve">, cytomegalovirus, Epstein-Barr virus, </w:t>
      </w:r>
      <w:proofErr w:type="spellStart"/>
      <w:r w:rsidR="00185EEB">
        <w:t>varicella</w:t>
      </w:r>
      <w:proofErr w:type="spellEnd"/>
      <w:r w:rsidR="00185EEB">
        <w:t xml:space="preserve">-zoster, and vaccines (rabies and swine influenza)” are also thought to be potential pathogens.  </w:t>
      </w:r>
      <w:r w:rsidR="002E0440">
        <w:t>(Lewis 1542)</w:t>
      </w:r>
    </w:p>
    <w:p w:rsidR="002E0440" w:rsidRDefault="002E0440" w:rsidP="002E0440">
      <w:pPr>
        <w:pStyle w:val="ListParagraph"/>
        <w:ind w:firstLine="720"/>
      </w:pPr>
      <w:proofErr w:type="spellStart"/>
      <w:r>
        <w:t>Demyelination</w:t>
      </w:r>
      <w:proofErr w:type="spellEnd"/>
      <w:r>
        <w:t xml:space="preserve">, edema and inflammation of the affected nerves result from cellular and </w:t>
      </w:r>
      <w:proofErr w:type="spellStart"/>
      <w:r>
        <w:t>humoral</w:t>
      </w:r>
      <w:proofErr w:type="spellEnd"/>
      <w:r>
        <w:t xml:space="preserve"> immune reactions directed at the nerves.  </w:t>
      </w:r>
      <w:proofErr w:type="spellStart"/>
      <w:r>
        <w:t>Demylination</w:t>
      </w:r>
      <w:proofErr w:type="spellEnd"/>
      <w:r>
        <w:t xml:space="preserve"> of nerves stops or slows down the transmission of nerve impulses, and “the muscles innervated by the damaged peripheral nerves undergo </w:t>
      </w:r>
      <w:proofErr w:type="spellStart"/>
      <w:r>
        <w:t>denervation</w:t>
      </w:r>
      <w:proofErr w:type="spellEnd"/>
      <w:r>
        <w:t xml:space="preserve"> and atrophy.”  </w:t>
      </w:r>
      <w:proofErr w:type="spellStart"/>
      <w:r>
        <w:t>Remyelination</w:t>
      </w:r>
      <w:proofErr w:type="spellEnd"/>
      <w:r>
        <w:t xml:space="preserve"> occurs slowly in the recovery phase, and “neurologic function returns in a proximal-to-distal pattern.”</w:t>
      </w:r>
      <w:r w:rsidR="00185EEB">
        <w:t xml:space="preserve"> </w:t>
      </w:r>
      <w:r>
        <w:t xml:space="preserve"> (Lewis 1542)</w:t>
      </w:r>
    </w:p>
    <w:p w:rsidR="005D746C" w:rsidRDefault="005D746C" w:rsidP="005D746C">
      <w:pPr>
        <w:ind w:left="720"/>
      </w:pPr>
      <w:r>
        <w:tab/>
        <w:t>Guillain-Barre syndrome “affects males 1.5 times more frequently than females.”  While typically seen in adults, it “is observed in all age groups.”</w:t>
      </w:r>
    </w:p>
    <w:p w:rsidR="005D746C" w:rsidRDefault="005D746C" w:rsidP="005D746C">
      <w:pPr>
        <w:ind w:left="720"/>
      </w:pPr>
      <w:r>
        <w:tab/>
        <w:t>Symptoms of Guillain-Barre range from mild to severe and usually develop “1 to 3 weeks after an upper respiratory or gastrointestinal infection.”  The clinical manifestations of Guillain-Barre include:</w:t>
      </w:r>
    </w:p>
    <w:p w:rsidR="005F0D94" w:rsidRDefault="003E32EC" w:rsidP="00192CFD">
      <w:pPr>
        <w:pStyle w:val="ListParagraph"/>
        <w:numPr>
          <w:ilvl w:val="0"/>
          <w:numId w:val="4"/>
        </w:numPr>
        <w:ind w:left="1440" w:hanging="720"/>
      </w:pPr>
      <w:r>
        <w:t>“</w:t>
      </w:r>
      <w:r w:rsidR="005D746C">
        <w:t>Weakness of the lower extremities</w:t>
      </w:r>
      <w:r>
        <w:t xml:space="preserve"> (over hours to days to weeks) that peek about the fourteenth day,</w:t>
      </w:r>
    </w:p>
    <w:p w:rsidR="003E32EC" w:rsidRDefault="003E32EC" w:rsidP="003E32EC">
      <w:pPr>
        <w:pStyle w:val="ListParagraph"/>
        <w:numPr>
          <w:ilvl w:val="0"/>
          <w:numId w:val="4"/>
        </w:numPr>
        <w:ind w:left="720" w:firstLine="0"/>
      </w:pPr>
      <w:proofErr w:type="spellStart"/>
      <w:r>
        <w:t>Paresthesia</w:t>
      </w:r>
      <w:proofErr w:type="spellEnd"/>
      <w:r>
        <w:t xml:space="preserve"> is frequent and paralysis usually follows in the extremities,</w:t>
      </w:r>
    </w:p>
    <w:p w:rsidR="003E32EC" w:rsidRDefault="003E32EC" w:rsidP="003E32EC">
      <w:pPr>
        <w:pStyle w:val="ListParagraph"/>
        <w:numPr>
          <w:ilvl w:val="0"/>
          <w:numId w:val="4"/>
        </w:numPr>
        <w:ind w:left="720" w:firstLine="0"/>
      </w:pPr>
      <w:r>
        <w:t xml:space="preserve">Hypotonia and </w:t>
      </w:r>
      <w:proofErr w:type="spellStart"/>
      <w:r>
        <w:t>areflexia</w:t>
      </w:r>
      <w:proofErr w:type="spellEnd"/>
      <w:r>
        <w:t xml:space="preserve"> are common, persistent symptoms,</w:t>
      </w:r>
    </w:p>
    <w:p w:rsidR="003E32EC" w:rsidRDefault="00192CFD" w:rsidP="00192CFD">
      <w:pPr>
        <w:pStyle w:val="ListParagraph"/>
        <w:numPr>
          <w:ilvl w:val="0"/>
          <w:numId w:val="4"/>
        </w:numPr>
        <w:ind w:left="1440" w:hanging="720"/>
      </w:pPr>
      <w:r>
        <w:t>O</w:t>
      </w:r>
      <w:r w:rsidR="003E32EC">
        <w:t>bjective sensory loss is variable, with deep sensitivity more affected  than superficial sensations,</w:t>
      </w:r>
    </w:p>
    <w:p w:rsidR="003E32EC" w:rsidRDefault="003E32EC" w:rsidP="00192CFD">
      <w:pPr>
        <w:pStyle w:val="ListParagraph"/>
        <w:numPr>
          <w:ilvl w:val="0"/>
          <w:numId w:val="4"/>
        </w:numPr>
        <w:ind w:left="1440" w:hanging="720"/>
      </w:pPr>
      <w:r>
        <w:t>Autonomic disturbances are seen in patients with severe muscle involvement and respiratory muscle paralysis,</w:t>
      </w:r>
    </w:p>
    <w:p w:rsidR="003E32EC" w:rsidRDefault="003E32EC" w:rsidP="003E32EC">
      <w:pPr>
        <w:pStyle w:val="ListParagraph"/>
        <w:numPr>
          <w:ilvl w:val="0"/>
          <w:numId w:val="4"/>
        </w:numPr>
        <w:ind w:left="720" w:firstLine="0"/>
      </w:pPr>
      <w:r>
        <w:t>Bowel and bladder dysfunction,</w:t>
      </w:r>
    </w:p>
    <w:p w:rsidR="003E32EC" w:rsidRDefault="003E32EC" w:rsidP="003E32EC">
      <w:pPr>
        <w:pStyle w:val="ListParagraph"/>
        <w:numPr>
          <w:ilvl w:val="0"/>
          <w:numId w:val="4"/>
        </w:numPr>
        <w:ind w:left="720" w:firstLine="0"/>
      </w:pPr>
      <w:r>
        <w:t>Facial flushing,</w:t>
      </w:r>
    </w:p>
    <w:p w:rsidR="003E32EC" w:rsidRDefault="003E32EC" w:rsidP="003E32EC">
      <w:pPr>
        <w:pStyle w:val="ListParagraph"/>
        <w:numPr>
          <w:ilvl w:val="0"/>
          <w:numId w:val="4"/>
        </w:numPr>
        <w:ind w:left="720" w:firstLine="0"/>
      </w:pPr>
      <w:r>
        <w:t>Diaphoresis,</w:t>
      </w:r>
    </w:p>
    <w:p w:rsidR="003E32EC" w:rsidRDefault="003E32EC" w:rsidP="003E32EC">
      <w:pPr>
        <w:pStyle w:val="ListParagraph"/>
        <w:numPr>
          <w:ilvl w:val="0"/>
          <w:numId w:val="4"/>
        </w:numPr>
        <w:ind w:left="720" w:firstLine="0"/>
      </w:pPr>
      <w:r>
        <w:t>SIADH,</w:t>
      </w:r>
    </w:p>
    <w:p w:rsidR="003E32EC" w:rsidRDefault="003E32EC" w:rsidP="00192CFD">
      <w:pPr>
        <w:pStyle w:val="ListParagraph"/>
        <w:numPr>
          <w:ilvl w:val="0"/>
          <w:numId w:val="4"/>
        </w:numPr>
        <w:ind w:left="1440" w:hanging="720"/>
      </w:pPr>
      <w:r>
        <w:t>Facial weakness, extra ocular eye movement difficulties,</w:t>
      </w:r>
      <w:r w:rsidR="00192CFD">
        <w:t xml:space="preserve"> </w:t>
      </w:r>
      <w:proofErr w:type="spellStart"/>
      <w:r w:rsidR="00192CFD">
        <w:t>d</w:t>
      </w:r>
      <w:r>
        <w:t>ysphagia</w:t>
      </w:r>
      <w:proofErr w:type="spellEnd"/>
      <w:r>
        <w:t xml:space="preserve"> and </w:t>
      </w:r>
      <w:proofErr w:type="spellStart"/>
      <w:r>
        <w:t>parathesia</w:t>
      </w:r>
      <w:proofErr w:type="spellEnd"/>
      <w:r>
        <w:t xml:space="preserve"> o</w:t>
      </w:r>
      <w:r w:rsidR="00192CFD">
        <w:t>f the face (from cranial nerves III, V, VI, VII, X and XII involvement), and</w:t>
      </w:r>
    </w:p>
    <w:p w:rsidR="00192CFD" w:rsidRDefault="00192CFD" w:rsidP="003E32EC">
      <w:pPr>
        <w:pStyle w:val="ListParagraph"/>
        <w:numPr>
          <w:ilvl w:val="0"/>
          <w:numId w:val="4"/>
        </w:numPr>
        <w:ind w:left="720" w:firstLine="0"/>
      </w:pPr>
      <w:r>
        <w:t>Pain.”</w:t>
      </w:r>
      <w:r w:rsidR="006A6E84">
        <w:t xml:space="preserve">  (Lewis 1542 and 1543)</w:t>
      </w:r>
    </w:p>
    <w:p w:rsidR="006A6E84" w:rsidRDefault="006A6E84" w:rsidP="006A6E84">
      <w:pPr>
        <w:pStyle w:val="ListParagraph"/>
      </w:pPr>
    </w:p>
    <w:p w:rsidR="00600FCA" w:rsidRDefault="00600FCA" w:rsidP="00A95EBB">
      <w:r>
        <w:lastRenderedPageBreak/>
        <w:t xml:space="preserve">C.B.’s case was typical of Guillain-Barre syndrome as it presented itself in the early stages.  Three weeks following a diagnosis of viral infection, he developed bilateral weakness, numbness and tingling of the lower extremities.   The paralysis progressed into his upper body.  Unfortunately, C.B. experienced respiratory failure, the most serious of complications from Guillain-Barre.  Intubation and mechanical ventilation was necessary.  Respiratory failure occurred “as the paralysis progressed to the nerves that innervate the thoracic area.”  (Lewis 1543)   </w:t>
      </w:r>
    </w:p>
    <w:p w:rsidR="006A6E84" w:rsidRDefault="00600FCA" w:rsidP="006A6E84">
      <w:pPr>
        <w:pStyle w:val="ListParagraph"/>
        <w:ind w:left="0" w:firstLine="720"/>
      </w:pPr>
      <w:r>
        <w:t>Guillain-Barre is diagnosed “primarily on the patient’s history and from clinical signs.”  Of course, EMG and nerve conduction studies are markedly abnormal in the affected extremities.  CSF is normal or shows low protein levels initially, with elevated protein levels seen after 7 to 10 days.</w:t>
      </w:r>
    </w:p>
    <w:p w:rsidR="00192CFD" w:rsidRDefault="00192CFD" w:rsidP="00192CFD">
      <w:pPr>
        <w:pStyle w:val="ListParagraph"/>
      </w:pPr>
    </w:p>
    <w:p w:rsidR="00192CFD" w:rsidRDefault="00192CFD" w:rsidP="00192CFD">
      <w:pPr>
        <w:ind w:left="720" w:firstLine="720"/>
      </w:pPr>
    </w:p>
    <w:p w:rsidR="00192CFD" w:rsidRPr="005F0D94" w:rsidRDefault="00192CFD" w:rsidP="00192CFD">
      <w:pPr>
        <w:pStyle w:val="ListParagraph"/>
      </w:pPr>
    </w:p>
    <w:sectPr w:rsidR="00192CFD" w:rsidRPr="005F0D94"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1B0E"/>
    <w:multiLevelType w:val="hybridMultilevel"/>
    <w:tmpl w:val="2E5E42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5B6D0A"/>
    <w:multiLevelType w:val="hybridMultilevel"/>
    <w:tmpl w:val="E168D412"/>
    <w:lvl w:ilvl="0" w:tplc="F552D4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3861D4"/>
    <w:multiLevelType w:val="hybridMultilevel"/>
    <w:tmpl w:val="7D48A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6119BF"/>
    <w:multiLevelType w:val="hybridMultilevel"/>
    <w:tmpl w:val="9BE8A016"/>
    <w:lvl w:ilvl="0" w:tplc="C03AF062">
      <w:start w:val="2"/>
      <w:numFmt w:val="bullet"/>
      <w:lvlText w:val=""/>
      <w:lvlJc w:val="left"/>
      <w:pPr>
        <w:ind w:left="4680" w:hanging="360"/>
      </w:pPr>
      <w:rPr>
        <w:rFonts w:ascii="Symbol" w:eastAsiaTheme="minorHAnsi" w:hAnsi="Symbol" w:cstheme="minorBidi"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0D94"/>
    <w:rsid w:val="00185EEB"/>
    <w:rsid w:val="00192CFD"/>
    <w:rsid w:val="002E0440"/>
    <w:rsid w:val="00381B48"/>
    <w:rsid w:val="003E2270"/>
    <w:rsid w:val="003E32EC"/>
    <w:rsid w:val="005D746C"/>
    <w:rsid w:val="005F0D94"/>
    <w:rsid w:val="00600FCA"/>
    <w:rsid w:val="006A6E84"/>
    <w:rsid w:val="006C10E5"/>
    <w:rsid w:val="007D3FD2"/>
    <w:rsid w:val="008C10F0"/>
    <w:rsid w:val="00951B17"/>
    <w:rsid w:val="00A56723"/>
    <w:rsid w:val="00A95EBB"/>
    <w:rsid w:val="00AC2D80"/>
    <w:rsid w:val="00E20450"/>
    <w:rsid w:val="00F64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D94"/>
    <w:pPr>
      <w:ind w:left="720"/>
      <w:contextualSpacing/>
    </w:pPr>
  </w:style>
</w:styles>
</file>

<file path=word/webSettings.xml><?xml version="1.0" encoding="utf-8"?>
<w:webSettings xmlns:r="http://schemas.openxmlformats.org/officeDocument/2006/relationships" xmlns:w="http://schemas.openxmlformats.org/wordprocessingml/2006/main">
  <w:divs>
    <w:div w:id="6724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2012-02-22T00:06:00Z</dcterms:created>
  <dcterms:modified xsi:type="dcterms:W3CDTF">2012-02-22T00:06:00Z</dcterms:modified>
</cp:coreProperties>
</file>