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tbl>
      <w:tblPr>
        <w:tblStyle w:val="TableGrid"/>
        <w:tblW w:w="0" w:type="auto"/>
        <w:tblLook w:val="00A0"/>
      </w:tblPr>
      <w:tblGrid>
        <w:gridCol w:w="2538"/>
        <w:gridCol w:w="4050"/>
        <w:gridCol w:w="2610"/>
        <w:gridCol w:w="3978"/>
      </w:tblGrid>
      <w:tr w:rsidR="00C27E5B" w:rsidRPr="00310DDC">
        <w:tc>
          <w:tcPr>
            <w:tcW w:w="2538" w:type="dxa"/>
          </w:tcPr>
          <w:p w:rsidR="00C27E5B" w:rsidRPr="00310DDC" w:rsidRDefault="00C27E5B" w:rsidP="00DF0DE2">
            <w:pPr>
              <w:spacing w:after="0" w:line="240" w:lineRule="auto"/>
              <w:rPr>
                <w:rFonts w:ascii="Arial" w:hAnsi="Arial"/>
                <w:sz w:val="16"/>
              </w:rPr>
            </w:pPr>
            <w:r w:rsidRPr="00310DDC">
              <w:rPr>
                <w:rFonts w:ascii="Arial" w:hAnsi="Arial"/>
                <w:sz w:val="16"/>
              </w:rPr>
              <w:t>Medication &amp; Classification</w:t>
            </w:r>
          </w:p>
          <w:p w:rsidR="00C27E5B" w:rsidRPr="00310DDC" w:rsidRDefault="00C27E5B" w:rsidP="00DF0DE2">
            <w:pPr>
              <w:spacing w:after="0" w:line="240" w:lineRule="auto"/>
              <w:rPr>
                <w:sz w:val="16"/>
              </w:rPr>
            </w:pPr>
          </w:p>
        </w:tc>
        <w:tc>
          <w:tcPr>
            <w:tcW w:w="4050" w:type="dxa"/>
          </w:tcPr>
          <w:p w:rsidR="00C27E5B" w:rsidRPr="00310DDC" w:rsidRDefault="00C27E5B" w:rsidP="00DF0DE2">
            <w:pPr>
              <w:spacing w:after="0" w:line="240" w:lineRule="auto"/>
              <w:jc w:val="center"/>
              <w:rPr>
                <w:rFonts w:ascii="Arial" w:hAnsi="Arial"/>
                <w:sz w:val="16"/>
              </w:rPr>
            </w:pPr>
            <w:r w:rsidRPr="00310DDC">
              <w:rPr>
                <w:rFonts w:ascii="Arial" w:hAnsi="Arial"/>
                <w:sz w:val="16"/>
              </w:rPr>
              <w:t>clonidine  hydrochloride ( Catapres)</w:t>
            </w:r>
          </w:p>
          <w:p w:rsidR="00C27E5B" w:rsidRPr="00310DDC" w:rsidRDefault="00C27E5B" w:rsidP="00DF0DE2">
            <w:pPr>
              <w:spacing w:after="0" w:line="240" w:lineRule="auto"/>
              <w:jc w:val="center"/>
              <w:rPr>
                <w:rFonts w:ascii="Arial" w:hAnsi="Arial"/>
                <w:sz w:val="16"/>
              </w:rPr>
            </w:pPr>
            <w:r w:rsidRPr="00310DDC">
              <w:rPr>
                <w:rFonts w:ascii="Arial" w:hAnsi="Arial"/>
                <w:sz w:val="16"/>
              </w:rPr>
              <w:t>pharmacological: imidazoline derivative</w:t>
            </w:r>
          </w:p>
          <w:p w:rsidR="00C27E5B" w:rsidRPr="00310DDC" w:rsidRDefault="00C27E5B" w:rsidP="00DF0DE2">
            <w:pPr>
              <w:spacing w:after="0" w:line="240" w:lineRule="auto"/>
              <w:jc w:val="center"/>
              <w:rPr>
                <w:sz w:val="16"/>
              </w:rPr>
            </w:pPr>
            <w:r w:rsidRPr="00310DDC">
              <w:rPr>
                <w:rFonts w:ascii="Arial" w:hAnsi="Arial"/>
                <w:sz w:val="16"/>
              </w:rPr>
              <w:t>therapeutic: analgesic, antihypertensive</w:t>
            </w:r>
          </w:p>
        </w:tc>
        <w:tc>
          <w:tcPr>
            <w:tcW w:w="2610" w:type="dxa"/>
          </w:tcPr>
          <w:p w:rsidR="00C27E5B" w:rsidRPr="00310DDC" w:rsidRDefault="00C27E5B" w:rsidP="00DF0DE2">
            <w:pPr>
              <w:spacing w:after="0" w:line="240" w:lineRule="auto"/>
              <w:rPr>
                <w:sz w:val="16"/>
              </w:rPr>
            </w:pPr>
            <w:r w:rsidRPr="00310DDC">
              <w:rPr>
                <w:rFonts w:ascii="Arial" w:hAnsi="Arial"/>
                <w:sz w:val="16"/>
              </w:rPr>
              <w:t>Medication &amp; Classification</w:t>
            </w:r>
          </w:p>
        </w:tc>
        <w:tc>
          <w:tcPr>
            <w:tcW w:w="3978" w:type="dxa"/>
          </w:tcPr>
          <w:p w:rsidR="00C27E5B" w:rsidRPr="00310DDC" w:rsidRDefault="00C27E5B" w:rsidP="00DF0DE2">
            <w:pPr>
              <w:spacing w:after="0" w:line="240" w:lineRule="auto"/>
              <w:jc w:val="center"/>
              <w:rPr>
                <w:rFonts w:ascii="Arial" w:hAnsi="Arial"/>
                <w:sz w:val="16"/>
              </w:rPr>
            </w:pPr>
            <w:r w:rsidRPr="00310DDC">
              <w:rPr>
                <w:rFonts w:ascii="Arial" w:hAnsi="Arial"/>
                <w:sz w:val="16"/>
              </w:rPr>
              <w:t>warfarin sodium (Coumadin)</w:t>
            </w:r>
          </w:p>
          <w:p w:rsidR="00C27E5B" w:rsidRPr="00310DDC" w:rsidRDefault="00C27E5B" w:rsidP="00DF0DE2">
            <w:pPr>
              <w:spacing w:after="0" w:line="240" w:lineRule="auto"/>
              <w:jc w:val="center"/>
              <w:rPr>
                <w:rFonts w:ascii="Arial" w:hAnsi="Arial"/>
                <w:sz w:val="16"/>
              </w:rPr>
            </w:pPr>
            <w:r w:rsidRPr="00310DDC">
              <w:rPr>
                <w:rFonts w:ascii="Arial" w:hAnsi="Arial"/>
                <w:sz w:val="16"/>
              </w:rPr>
              <w:t>pharmacological: coumarin derivative</w:t>
            </w:r>
          </w:p>
          <w:p w:rsidR="00C27E5B" w:rsidRPr="00310DDC" w:rsidRDefault="00C27E5B" w:rsidP="00DF0DE2">
            <w:pPr>
              <w:spacing w:after="0" w:line="240" w:lineRule="auto"/>
              <w:jc w:val="center"/>
              <w:rPr>
                <w:sz w:val="16"/>
              </w:rPr>
            </w:pPr>
            <w:r w:rsidRPr="00310DDC">
              <w:rPr>
                <w:rFonts w:ascii="Arial" w:hAnsi="Arial"/>
                <w:sz w:val="16"/>
              </w:rPr>
              <w:t>therapeutic: anticoagulant</w:t>
            </w:r>
          </w:p>
        </w:tc>
      </w:tr>
      <w:tr w:rsidR="00C27E5B" w:rsidRPr="00310DDC">
        <w:tc>
          <w:tcPr>
            <w:tcW w:w="2538" w:type="dxa"/>
          </w:tcPr>
          <w:p w:rsidR="00C27E5B" w:rsidRPr="00310DDC" w:rsidRDefault="00C27E5B" w:rsidP="00DF0DE2">
            <w:pPr>
              <w:spacing w:after="0" w:line="240" w:lineRule="auto"/>
              <w:rPr>
                <w:rFonts w:ascii="Arial" w:hAnsi="Arial"/>
                <w:sz w:val="16"/>
              </w:rPr>
            </w:pPr>
            <w:r w:rsidRPr="00310DDC">
              <w:rPr>
                <w:rFonts w:ascii="Arial" w:hAnsi="Arial"/>
                <w:sz w:val="16"/>
              </w:rPr>
              <w:t>Ordered Dose</w:t>
            </w:r>
          </w:p>
          <w:p w:rsidR="00C27E5B" w:rsidRPr="00310DDC" w:rsidRDefault="00C27E5B" w:rsidP="00DF0DE2">
            <w:pPr>
              <w:spacing w:after="0" w:line="240" w:lineRule="auto"/>
              <w:rPr>
                <w:sz w:val="16"/>
              </w:rPr>
            </w:pPr>
          </w:p>
        </w:tc>
        <w:tc>
          <w:tcPr>
            <w:tcW w:w="4050" w:type="dxa"/>
          </w:tcPr>
          <w:p w:rsidR="00C27E5B" w:rsidRPr="00310DDC" w:rsidRDefault="00C27E5B" w:rsidP="00DF0DE2">
            <w:pPr>
              <w:spacing w:after="0" w:line="240" w:lineRule="auto"/>
              <w:jc w:val="center"/>
              <w:rPr>
                <w:sz w:val="16"/>
              </w:rPr>
            </w:pPr>
            <w:r w:rsidRPr="00310DDC">
              <w:rPr>
                <w:rFonts w:ascii="Arial" w:hAnsi="Arial"/>
                <w:sz w:val="16"/>
              </w:rPr>
              <w:t>0.5 mg</w:t>
            </w:r>
          </w:p>
        </w:tc>
        <w:tc>
          <w:tcPr>
            <w:tcW w:w="2610" w:type="dxa"/>
          </w:tcPr>
          <w:p w:rsidR="00C27E5B" w:rsidRPr="00310DDC" w:rsidRDefault="00C27E5B" w:rsidP="00DF0DE2">
            <w:pPr>
              <w:spacing w:after="0" w:line="240" w:lineRule="auto"/>
              <w:rPr>
                <w:sz w:val="16"/>
              </w:rPr>
            </w:pPr>
            <w:r w:rsidRPr="00310DDC">
              <w:rPr>
                <w:rFonts w:ascii="Arial" w:hAnsi="Arial"/>
                <w:sz w:val="16"/>
              </w:rPr>
              <w:t>Ordered Dose</w:t>
            </w:r>
          </w:p>
        </w:tc>
        <w:tc>
          <w:tcPr>
            <w:tcW w:w="3978" w:type="dxa"/>
          </w:tcPr>
          <w:p w:rsidR="00C27E5B" w:rsidRPr="00310DDC" w:rsidRDefault="00C27E5B" w:rsidP="00DF0DE2">
            <w:pPr>
              <w:spacing w:after="0" w:line="240" w:lineRule="auto"/>
              <w:jc w:val="center"/>
              <w:rPr>
                <w:sz w:val="16"/>
              </w:rPr>
            </w:pPr>
            <w:r w:rsidRPr="00310DDC">
              <w:rPr>
                <w:rFonts w:ascii="Arial" w:hAnsi="Arial"/>
                <w:sz w:val="16"/>
              </w:rPr>
              <w:t>3 mg</w:t>
            </w:r>
          </w:p>
        </w:tc>
      </w:tr>
      <w:tr w:rsidR="00C27E5B" w:rsidRPr="00310DDC">
        <w:tc>
          <w:tcPr>
            <w:tcW w:w="2538" w:type="dxa"/>
          </w:tcPr>
          <w:p w:rsidR="00C27E5B" w:rsidRPr="00310DDC" w:rsidRDefault="00C27E5B" w:rsidP="00DF0DE2">
            <w:pPr>
              <w:spacing w:after="0" w:line="240" w:lineRule="auto"/>
              <w:rPr>
                <w:rFonts w:ascii="Arial" w:hAnsi="Arial"/>
                <w:sz w:val="16"/>
              </w:rPr>
            </w:pPr>
            <w:r w:rsidRPr="00310DDC">
              <w:rPr>
                <w:rFonts w:ascii="Arial" w:hAnsi="Arial"/>
                <w:sz w:val="16"/>
              </w:rPr>
              <w:t>Recommended Dose</w:t>
            </w:r>
          </w:p>
          <w:p w:rsidR="00C27E5B" w:rsidRPr="00310DDC" w:rsidRDefault="00C27E5B" w:rsidP="00DF0DE2">
            <w:pPr>
              <w:spacing w:after="0" w:line="240" w:lineRule="auto"/>
              <w:rPr>
                <w:sz w:val="16"/>
              </w:rPr>
            </w:pPr>
          </w:p>
        </w:tc>
        <w:tc>
          <w:tcPr>
            <w:tcW w:w="4050" w:type="dxa"/>
          </w:tcPr>
          <w:p w:rsidR="00C27E5B" w:rsidRPr="00310DDC" w:rsidRDefault="00C27E5B" w:rsidP="00DF0DE2">
            <w:pPr>
              <w:spacing w:after="0" w:line="240" w:lineRule="auto"/>
              <w:jc w:val="center"/>
              <w:rPr>
                <w:sz w:val="16"/>
              </w:rPr>
            </w:pPr>
            <w:r w:rsidRPr="00310DDC">
              <w:rPr>
                <w:rFonts w:ascii="Arial" w:hAnsi="Arial"/>
                <w:sz w:val="16"/>
              </w:rPr>
              <w:t>0.1 mg-0.8mg</w:t>
            </w:r>
          </w:p>
        </w:tc>
        <w:tc>
          <w:tcPr>
            <w:tcW w:w="2610" w:type="dxa"/>
          </w:tcPr>
          <w:p w:rsidR="00C27E5B" w:rsidRPr="00310DDC" w:rsidRDefault="00C27E5B" w:rsidP="00DF0DE2">
            <w:pPr>
              <w:spacing w:after="0" w:line="240" w:lineRule="auto"/>
              <w:rPr>
                <w:sz w:val="16"/>
              </w:rPr>
            </w:pPr>
            <w:r w:rsidRPr="00310DDC">
              <w:rPr>
                <w:rFonts w:ascii="Arial" w:hAnsi="Arial"/>
                <w:sz w:val="16"/>
              </w:rPr>
              <w:t>Recommended Dose</w:t>
            </w:r>
          </w:p>
        </w:tc>
        <w:tc>
          <w:tcPr>
            <w:tcW w:w="3978" w:type="dxa"/>
          </w:tcPr>
          <w:p w:rsidR="00C27E5B" w:rsidRPr="00310DDC" w:rsidRDefault="00C27E5B" w:rsidP="00DF0DE2">
            <w:pPr>
              <w:spacing w:after="0" w:line="240" w:lineRule="auto"/>
              <w:jc w:val="center"/>
              <w:rPr>
                <w:sz w:val="16"/>
              </w:rPr>
            </w:pPr>
            <w:r w:rsidRPr="00310DDC">
              <w:rPr>
                <w:rFonts w:ascii="Arial" w:hAnsi="Arial"/>
                <w:sz w:val="16"/>
              </w:rPr>
              <w:t xml:space="preserve">2mg-5mg </w:t>
            </w:r>
          </w:p>
        </w:tc>
      </w:tr>
      <w:tr w:rsidR="00C27E5B" w:rsidRPr="00310DDC">
        <w:tc>
          <w:tcPr>
            <w:tcW w:w="2538" w:type="dxa"/>
          </w:tcPr>
          <w:p w:rsidR="00C27E5B" w:rsidRPr="00310DDC" w:rsidRDefault="00C27E5B" w:rsidP="00DF0DE2">
            <w:pPr>
              <w:spacing w:after="0" w:line="240" w:lineRule="auto"/>
              <w:rPr>
                <w:sz w:val="16"/>
              </w:rPr>
            </w:pPr>
            <w:r w:rsidRPr="00310DDC">
              <w:rPr>
                <w:rFonts w:ascii="Arial" w:hAnsi="Arial"/>
                <w:sz w:val="16"/>
              </w:rPr>
              <w:t>Food &amp; Medication Interactions</w:t>
            </w:r>
          </w:p>
        </w:tc>
        <w:tc>
          <w:tcPr>
            <w:tcW w:w="4050" w:type="dxa"/>
          </w:tcPr>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arbiturates, other CNS depressants:</w:t>
            </w:r>
            <w:r w:rsidRPr="00310DDC">
              <w:rPr>
                <w:rFonts w:ascii="Arial" w:hAnsi="Arial" w:cs="TimesNewRomanPSMT"/>
                <w:sz w:val="16"/>
                <w:szCs w:val="32"/>
              </w:rPr>
              <w:t xml:space="preserve"> Increased depressant effects of these drugs</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beta blockers, calcium channel blockers, digoxin:</w:t>
            </w:r>
            <w:r w:rsidRPr="00310DDC">
              <w:rPr>
                <w:rFonts w:ascii="Arial" w:hAnsi="Arial" w:cs="TimesNewRomanPSMT"/>
                <w:sz w:val="16"/>
                <w:szCs w:val="32"/>
              </w:rPr>
              <w:t xml:space="preserve"> Additive effects, such as bradycardia and AV block; increased risk of worsened hypertensive response when clonidine is withdrawn (beta blockers only)</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diuretics, other antihypertensive drugs:</w:t>
            </w:r>
            <w:r w:rsidRPr="00310DDC">
              <w:rPr>
                <w:rFonts w:ascii="Arial" w:hAnsi="Arial" w:cs="TimesNewRomanPSMT"/>
                <w:sz w:val="16"/>
                <w:szCs w:val="32"/>
              </w:rPr>
              <w:t xml:space="preserve"> Increased hypotensive effect</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epidural local anesthetics</w:t>
            </w:r>
            <w:r w:rsidRPr="00310DDC">
              <w:rPr>
                <w:rFonts w:ascii="Arial" w:hAnsi="Arial" w:cs="TimesNewRomanPSMT"/>
                <w:sz w:val="16"/>
                <w:szCs w:val="32"/>
              </w:rPr>
              <w:t>: Prolonged effects of epidural local anesthetics when used with epidural clonidine</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levodopa:</w:t>
            </w:r>
            <w:r w:rsidRPr="00310DDC">
              <w:rPr>
                <w:rFonts w:ascii="Arial" w:hAnsi="Arial" w:cs="TimesNewRomanPSMT"/>
                <w:sz w:val="16"/>
                <w:szCs w:val="32"/>
              </w:rPr>
              <w:t xml:space="preserve"> Decreased levodopa effectiveness</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prazosin, tricyclic antidepressants:</w:t>
            </w:r>
            <w:r w:rsidRPr="00310DDC">
              <w:rPr>
                <w:rFonts w:ascii="Arial" w:hAnsi="Arial" w:cs="TimesNewRomanPSMT"/>
                <w:sz w:val="16"/>
                <w:szCs w:val="32"/>
              </w:rPr>
              <w:t xml:space="preserve"> Decreased antihypertensive effect of clonidine</w:t>
            </w:r>
          </w:p>
          <w:p w:rsidR="00C27E5B" w:rsidRPr="00310DDC" w:rsidRDefault="00C27E5B" w:rsidP="00310DDC">
            <w:pPr>
              <w:widowControl w:val="0"/>
              <w:autoSpaceDE w:val="0"/>
              <w:autoSpaceDN w:val="0"/>
              <w:adjustRightInd w:val="0"/>
              <w:spacing w:after="0" w:line="240" w:lineRule="auto"/>
              <w:rPr>
                <w:rFonts w:ascii="Arial" w:hAnsi="Arial" w:cs="TimesNewRomanPSMT"/>
                <w:b/>
                <w:bCs/>
                <w:sz w:val="16"/>
                <w:szCs w:val="32"/>
              </w:rPr>
            </w:pPr>
            <w:r w:rsidRPr="00310DDC">
              <w:rPr>
                <w:rFonts w:ascii="Arial" w:hAnsi="Arial" w:cs="TimesNewRomanPSMT"/>
                <w:b/>
                <w:bCs/>
                <w:sz w:val="16"/>
                <w:szCs w:val="32"/>
              </w:rPr>
              <w:t>Activities</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alcohol use:</w:t>
            </w:r>
            <w:r w:rsidRPr="00310DDC">
              <w:rPr>
                <w:rFonts w:ascii="Arial" w:hAnsi="Arial" w:cs="TimesNewRomanPSMT"/>
                <w:sz w:val="16"/>
                <w:szCs w:val="32"/>
              </w:rPr>
              <w:t xml:space="preserve"> Enhanced CNS depressant effects of alcohol</w:t>
            </w:r>
          </w:p>
          <w:p w:rsidR="00C27E5B" w:rsidRPr="00310DDC" w:rsidRDefault="00C27E5B" w:rsidP="00DF0DE2">
            <w:pPr>
              <w:spacing w:after="0" w:line="240" w:lineRule="auto"/>
              <w:jc w:val="center"/>
              <w:rPr>
                <w:sz w:val="16"/>
              </w:rPr>
            </w:pPr>
          </w:p>
        </w:tc>
        <w:tc>
          <w:tcPr>
            <w:tcW w:w="2610" w:type="dxa"/>
          </w:tcPr>
          <w:p w:rsidR="00C27E5B" w:rsidRPr="00310DDC" w:rsidRDefault="00C27E5B" w:rsidP="00DF0DE2">
            <w:pPr>
              <w:spacing w:after="0" w:line="240" w:lineRule="auto"/>
              <w:rPr>
                <w:sz w:val="16"/>
              </w:rPr>
            </w:pPr>
            <w:r w:rsidRPr="00310DDC">
              <w:rPr>
                <w:rFonts w:ascii="Arial" w:hAnsi="Arial"/>
                <w:sz w:val="16"/>
              </w:rPr>
              <w:t>Food &amp; Medication Interactions</w:t>
            </w:r>
          </w:p>
        </w:tc>
        <w:tc>
          <w:tcPr>
            <w:tcW w:w="3978" w:type="dxa"/>
          </w:tcPr>
          <w:p w:rsidR="00C27E5B" w:rsidRPr="00310DDC" w:rsidRDefault="00C27E5B" w:rsidP="00310DDC">
            <w:pPr>
              <w:spacing w:after="0" w:line="240" w:lineRule="auto"/>
              <w:rPr>
                <w:rFonts w:ascii="Arial" w:hAnsi="Arial" w:cs="TimesNewRomanPSMT"/>
                <w:b/>
                <w:bCs/>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b/>
                <w:bCs/>
                <w:sz w:val="16"/>
                <w:szCs w:val="32"/>
              </w:rPr>
            </w:pPr>
            <w:r w:rsidRPr="00310DDC">
              <w:rPr>
                <w:rFonts w:ascii="Arial" w:hAnsi="Arial" w:cs="TimesNewRomanPSMT"/>
                <w:b/>
                <w:bCs/>
                <w:sz w:val="16"/>
                <w:szCs w:val="32"/>
              </w:rPr>
              <w:t>Drugs</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acetaminophen, agrimony, aminoglycosides, amiodarone, androgens, argatroban, beta blockers, bivalirudin, capecitabine, cephalosporins, chloral hydrate, chloramphenicol, chlorpropamide, cimetidine, clofibrate, corticosteroids, cyclophosphamide, dextrothyroxine, diflunisal, disulfiram, erythromycin, ezetimibe, fluconazole, gemfibrozil, glucagon, hydantoins, ifosfamide, influenza virus vaccine, isoniazid, ketoconazole, lepirudin, loop diuretics, lovastatin, metronidazole, miconazole, mineral oil, moricizine, nalidixic acid, NSAIDs, omeprazole, penicillins, phenylbutazones, propafenone, propoxyphene, quinidine, quinine, quinolones, salicylates, streptokinase, sulfamethoxazole-trimethoprim, sulfinpyrazone, sulfonamides, tamoxifen, tetracyclines, thyroid hormones, urokinase, valdecoxib, vitamin E:</w:t>
            </w:r>
            <w:r w:rsidRPr="00310DDC">
              <w:rPr>
                <w:rFonts w:ascii="Arial" w:hAnsi="Arial" w:cs="TimesNewRomanPSMT"/>
                <w:sz w:val="16"/>
                <w:szCs w:val="32"/>
              </w:rPr>
              <w:t xml:space="preserve"> Increased anticoagulant effect of warfarin, increased risk of bleeding</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aminoglutethimide, barbiturates, carbamazepine, cholestyramine, dicloxacillin, estrogens, ethchlorvynol, etretinate, glutethimide, griseofulvin, nafcillin, oral contraceptives, rifampin, spironolactone, sucralfate, thiazide diuretics, trazodone, vitamin C, vitamin K:</w:t>
            </w:r>
            <w:r w:rsidRPr="00310DDC">
              <w:rPr>
                <w:rFonts w:ascii="Arial" w:hAnsi="Arial" w:cs="TimesNewRomanPSMT"/>
                <w:sz w:val="16"/>
                <w:szCs w:val="32"/>
              </w:rPr>
              <w:t xml:space="preserve"> Decreased anticoagulant effect of warfarin</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atorvastatin, pravastatin:</w:t>
            </w:r>
            <w:r w:rsidRPr="00310DDC">
              <w:rPr>
                <w:rFonts w:ascii="Arial" w:hAnsi="Arial" w:cs="TimesNewRomanPSMT"/>
                <w:sz w:val="16"/>
                <w:szCs w:val="32"/>
              </w:rPr>
              <w:t xml:space="preserve"> Increased or decreased anticoagulant effect of warfarin</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herbal remedies (including bromelains, danshen, dong quai, garlic, ginkgo biloba, and ginseng):</w:t>
            </w:r>
            <w:r w:rsidRPr="00310DDC">
              <w:rPr>
                <w:rFonts w:ascii="Arial" w:hAnsi="Arial" w:cs="TimesNewRomanPSMT"/>
                <w:sz w:val="16"/>
                <w:szCs w:val="32"/>
              </w:rPr>
              <w:t xml:space="preserve"> Increased anticoagulant effect of warfarin, increased risk of bleeding</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I.V. lipid emulsion, other medical products that contain soybean oil:</w:t>
            </w:r>
            <w:r w:rsidRPr="00310DDC">
              <w:rPr>
                <w:rFonts w:ascii="Arial" w:hAnsi="Arial" w:cs="TimesNewRomanPSMT"/>
                <w:sz w:val="16"/>
                <w:szCs w:val="32"/>
              </w:rPr>
              <w:t xml:space="preserve"> Possibly decreased vitamin K absorption and increased anticoagulant effect of warfarin</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nicotine patch:</w:t>
            </w:r>
            <w:r w:rsidRPr="00310DDC">
              <w:rPr>
                <w:rFonts w:ascii="Arial" w:hAnsi="Arial" w:cs="TimesNewRomanPSMT"/>
                <w:sz w:val="16"/>
                <w:szCs w:val="32"/>
              </w:rPr>
              <w:t xml:space="preserve"> Altered response to warfarin</w:t>
            </w:r>
          </w:p>
          <w:p w:rsidR="00C27E5B" w:rsidRPr="00310DDC" w:rsidRDefault="00C27E5B" w:rsidP="00310DDC">
            <w:pPr>
              <w:widowControl w:val="0"/>
              <w:autoSpaceDE w:val="0"/>
              <w:autoSpaceDN w:val="0"/>
              <w:adjustRightInd w:val="0"/>
              <w:spacing w:after="0" w:line="240" w:lineRule="auto"/>
              <w:rPr>
                <w:rFonts w:ascii="Arial" w:hAnsi="Arial" w:cs="TimesNewRomanPSMT"/>
                <w:b/>
                <w:bCs/>
                <w:sz w:val="16"/>
                <w:szCs w:val="32"/>
              </w:rPr>
            </w:pPr>
            <w:r w:rsidRPr="00310DDC">
              <w:rPr>
                <w:rFonts w:ascii="Arial" w:hAnsi="Arial" w:cs="TimesNewRomanPSMT"/>
                <w:b/>
                <w:bCs/>
                <w:sz w:val="16"/>
                <w:szCs w:val="32"/>
              </w:rPr>
              <w:t>Foods</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certain multivitamins, enteral feedings, vitamin–K-rich foods:</w:t>
            </w:r>
            <w:r w:rsidRPr="00310DDC">
              <w:rPr>
                <w:rFonts w:ascii="Arial" w:hAnsi="Arial" w:cs="TimesNewRomanPSMT"/>
                <w:sz w:val="16"/>
                <w:szCs w:val="32"/>
              </w:rPr>
              <w:t xml:space="preserve"> Decreased effects of warfarin</w:t>
            </w:r>
          </w:p>
          <w:p w:rsidR="00C27E5B" w:rsidRPr="00310DDC" w:rsidRDefault="00C27E5B" w:rsidP="00310DDC">
            <w:pPr>
              <w:widowControl w:val="0"/>
              <w:autoSpaceDE w:val="0"/>
              <w:autoSpaceDN w:val="0"/>
              <w:adjustRightInd w:val="0"/>
              <w:spacing w:after="0" w:line="240" w:lineRule="auto"/>
              <w:rPr>
                <w:rFonts w:ascii="Arial" w:hAnsi="Arial" w:cs="TimesNewRomanPSMT"/>
                <w:b/>
                <w:bCs/>
                <w:sz w:val="16"/>
                <w:szCs w:val="32"/>
              </w:rPr>
            </w:pPr>
            <w:r w:rsidRPr="00310DDC">
              <w:rPr>
                <w:rFonts w:ascii="Arial" w:hAnsi="Arial" w:cs="TimesNewRomanPSMT"/>
                <w:b/>
                <w:bCs/>
                <w:sz w:val="16"/>
                <w:szCs w:val="32"/>
              </w:rPr>
              <w:t>Activities</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alcohol use:</w:t>
            </w:r>
            <w:r w:rsidRPr="00310DDC">
              <w:rPr>
                <w:rFonts w:ascii="Arial" w:hAnsi="Arial" w:cs="TimesNewRomanPSMT"/>
                <w:sz w:val="16"/>
                <w:szCs w:val="32"/>
              </w:rPr>
              <w:t xml:space="preserve"> Increased risk of hypoprothrombinemia</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smoking, smoking cessation:</w:t>
            </w:r>
            <w:r w:rsidRPr="00310DDC">
              <w:rPr>
                <w:rFonts w:ascii="Arial" w:hAnsi="Arial" w:cs="TimesNewRomanPSMT"/>
                <w:sz w:val="16"/>
                <w:szCs w:val="32"/>
              </w:rPr>
              <w:t xml:space="preserve"> Altered response to warfarin</w:t>
            </w:r>
          </w:p>
          <w:p w:rsidR="00C27E5B" w:rsidRPr="00310DDC" w:rsidRDefault="00C27E5B" w:rsidP="00310DDC">
            <w:pPr>
              <w:spacing w:after="0" w:line="240" w:lineRule="auto"/>
              <w:rPr>
                <w:rFonts w:ascii="Arial" w:hAnsi="Arial" w:cs="TimesNewRomanPSMT"/>
                <w:sz w:val="16"/>
                <w:szCs w:val="32"/>
              </w:rPr>
            </w:pPr>
          </w:p>
          <w:p w:rsidR="00C27E5B" w:rsidRPr="00310DDC" w:rsidRDefault="00C27E5B" w:rsidP="00310DDC">
            <w:pPr>
              <w:spacing w:after="0" w:line="240" w:lineRule="auto"/>
              <w:rPr>
                <w:sz w:val="16"/>
              </w:rPr>
            </w:pPr>
          </w:p>
        </w:tc>
      </w:tr>
      <w:tr w:rsidR="00C27E5B" w:rsidRPr="00310DDC">
        <w:tc>
          <w:tcPr>
            <w:tcW w:w="2538" w:type="dxa"/>
          </w:tcPr>
          <w:p w:rsidR="00C27E5B" w:rsidRPr="00310DDC" w:rsidRDefault="00C27E5B" w:rsidP="00DF0DE2">
            <w:pPr>
              <w:spacing w:after="0" w:line="240" w:lineRule="auto"/>
              <w:rPr>
                <w:rFonts w:ascii="Arial" w:hAnsi="Arial"/>
                <w:sz w:val="16"/>
              </w:rPr>
            </w:pPr>
            <w:r w:rsidRPr="00310DDC">
              <w:rPr>
                <w:rFonts w:ascii="Arial" w:hAnsi="Arial"/>
                <w:sz w:val="16"/>
              </w:rPr>
              <w:t>Side Effects</w:t>
            </w: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sz w:val="16"/>
              </w:rPr>
            </w:pPr>
          </w:p>
        </w:tc>
        <w:tc>
          <w:tcPr>
            <w:tcW w:w="4050" w:type="dxa"/>
          </w:tcPr>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CNS:</w:t>
            </w:r>
          </w:p>
          <w:p w:rsidR="00C27E5B" w:rsidRPr="00310DDC" w:rsidRDefault="00C27E5B" w:rsidP="00310DDC">
            <w:pPr>
              <w:widowControl w:val="0"/>
              <w:numPr>
                <w:ilvl w:val="0"/>
                <w:numId w:val="3"/>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Agitation, depression, dizziness, drowsiness, fatigue, headache, malaise, nervousness, sedation, weakness</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CV:</w:t>
            </w:r>
          </w:p>
          <w:p w:rsidR="00C27E5B" w:rsidRPr="00310DDC" w:rsidRDefault="00C27E5B" w:rsidP="00310DDC">
            <w:pPr>
              <w:widowControl w:val="0"/>
              <w:numPr>
                <w:ilvl w:val="0"/>
                <w:numId w:val="3"/>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Chest pain, orthostatic hypotension</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EENT:</w:t>
            </w:r>
          </w:p>
          <w:p w:rsidR="00C27E5B" w:rsidRPr="00310DDC" w:rsidRDefault="00C27E5B" w:rsidP="00310DDC">
            <w:pPr>
              <w:widowControl w:val="0"/>
              <w:numPr>
                <w:ilvl w:val="0"/>
                <w:numId w:val="3"/>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Blurred vision, burning eyes, dry eyes and mouth</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GI:</w:t>
            </w:r>
          </w:p>
          <w:p w:rsidR="00C27E5B" w:rsidRPr="00310DDC" w:rsidRDefault="00C27E5B" w:rsidP="00310DDC">
            <w:pPr>
              <w:widowControl w:val="0"/>
              <w:numPr>
                <w:ilvl w:val="0"/>
                <w:numId w:val="3"/>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Constipation, mildly elevated liver function test results, nausea, vomiting</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GU:</w:t>
            </w:r>
          </w:p>
          <w:p w:rsidR="00C27E5B" w:rsidRPr="00310DDC" w:rsidRDefault="00C27E5B" w:rsidP="00310DDC">
            <w:pPr>
              <w:widowControl w:val="0"/>
              <w:numPr>
                <w:ilvl w:val="0"/>
                <w:numId w:val="3"/>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Decreased libido, impotence, nocturia</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SKIN:</w:t>
            </w:r>
          </w:p>
          <w:p w:rsidR="00C27E5B" w:rsidRPr="00310DDC" w:rsidRDefault="00C27E5B" w:rsidP="00310DDC">
            <w:pPr>
              <w:widowControl w:val="0"/>
              <w:numPr>
                <w:ilvl w:val="0"/>
                <w:numId w:val="3"/>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Rash</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Other:</w:t>
            </w:r>
          </w:p>
          <w:p w:rsidR="00C27E5B" w:rsidRPr="00310DDC" w:rsidRDefault="00C27E5B" w:rsidP="00310DDC">
            <w:pPr>
              <w:numPr>
                <w:ilvl w:val="0"/>
                <w:numId w:val="3"/>
              </w:numPr>
              <w:spacing w:after="0" w:line="240" w:lineRule="auto"/>
              <w:rPr>
                <w:sz w:val="16"/>
              </w:rPr>
            </w:pPr>
            <w:r w:rsidRPr="00310DDC">
              <w:rPr>
                <w:rFonts w:ascii="Arial" w:hAnsi="Arial" w:cs="TimesNewRomanPSMT"/>
                <w:sz w:val="16"/>
                <w:szCs w:val="32"/>
              </w:rPr>
              <w:t>Weight gain, withdrawal symptoms</w:t>
            </w:r>
          </w:p>
        </w:tc>
        <w:tc>
          <w:tcPr>
            <w:tcW w:w="2610" w:type="dxa"/>
          </w:tcPr>
          <w:p w:rsidR="00C27E5B" w:rsidRPr="00310DDC" w:rsidRDefault="00C27E5B" w:rsidP="00DF0DE2">
            <w:pPr>
              <w:spacing w:after="0" w:line="240" w:lineRule="auto"/>
              <w:rPr>
                <w:sz w:val="16"/>
              </w:rPr>
            </w:pPr>
            <w:r w:rsidRPr="00310DDC">
              <w:rPr>
                <w:rFonts w:ascii="Arial" w:hAnsi="Arial"/>
                <w:sz w:val="16"/>
              </w:rPr>
              <w:t>Side Effects</w:t>
            </w:r>
          </w:p>
        </w:tc>
        <w:tc>
          <w:tcPr>
            <w:tcW w:w="3978" w:type="dxa"/>
          </w:tcPr>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CNS:</w:t>
            </w: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Coma, intracranial hemorrhage, loss of consciousness, syncope, weakness</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CV:</w:t>
            </w: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Angina, chest pain, hypotension</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EENT:</w:t>
            </w: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Epistaxis, intraocular hemorrhage</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GI:</w:t>
            </w: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Abdominal cramps and pain, diarrhea, hepatitis, nausea, vomiting</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GU:</w:t>
            </w: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Hematuria, vaginal bleeding (abnormal)</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HEME:</w:t>
            </w: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Anemia, potentially fatal hemorrhage (from any tissue or organ)</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SKIN:</w:t>
            </w: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Alopecia, ecchymosis, jaundice, petechiae, pruritus, purple-toe syndrome, tissue necrosis</w:t>
            </w:r>
          </w:p>
          <w:p w:rsidR="00C27E5B" w:rsidRPr="00310DDC" w:rsidRDefault="00C27E5B" w:rsidP="00310DDC">
            <w:pPr>
              <w:widowControl w:val="0"/>
              <w:autoSpaceDE w:val="0"/>
              <w:autoSpaceDN w:val="0"/>
              <w:adjustRightInd w:val="0"/>
              <w:spacing w:after="0" w:line="240" w:lineRule="auto"/>
              <w:ind w:left="360"/>
              <w:rPr>
                <w:rFonts w:ascii="Arial" w:hAnsi="Arial" w:cs="TimesNewRomanPSMT"/>
                <w:sz w:val="16"/>
                <w:szCs w:val="32"/>
              </w:rPr>
            </w:pPr>
            <w:r w:rsidRPr="00310DDC">
              <w:rPr>
                <w:rFonts w:ascii="Arial" w:hAnsi="Arial" w:cs="TimesNewRomanPSMT"/>
                <w:b/>
                <w:bCs/>
                <w:sz w:val="16"/>
                <w:szCs w:val="32"/>
              </w:rPr>
              <w:t>Other:</w:t>
            </w:r>
          </w:p>
          <w:p w:rsidR="00C27E5B" w:rsidRPr="00310DDC" w:rsidRDefault="00C27E5B" w:rsidP="00310DDC">
            <w:pPr>
              <w:widowControl w:val="0"/>
              <w:numPr>
                <w:ilvl w:val="0"/>
                <w:numId w:val="1"/>
              </w:numPr>
              <w:autoSpaceDE w:val="0"/>
              <w:autoSpaceDN w:val="0"/>
              <w:adjustRightInd w:val="0"/>
              <w:spacing w:after="0" w:line="240" w:lineRule="auto"/>
              <w:rPr>
                <w:sz w:val="16"/>
              </w:rPr>
            </w:pPr>
            <w:r w:rsidRPr="00310DDC">
              <w:rPr>
                <w:rFonts w:ascii="Arial" w:hAnsi="Arial" w:cs="TimesNewRomanPSMT"/>
                <w:sz w:val="16"/>
                <w:szCs w:val="32"/>
              </w:rPr>
              <w:t>Anaphylaxis</w:t>
            </w:r>
          </w:p>
        </w:tc>
      </w:tr>
      <w:tr w:rsidR="00C27E5B" w:rsidRPr="00310DDC">
        <w:tc>
          <w:tcPr>
            <w:tcW w:w="2538" w:type="dxa"/>
          </w:tcPr>
          <w:p w:rsidR="00C27E5B" w:rsidRPr="00310DDC" w:rsidRDefault="00C27E5B" w:rsidP="00DF0DE2">
            <w:pPr>
              <w:spacing w:after="0" w:line="240" w:lineRule="auto"/>
              <w:jc w:val="center"/>
              <w:rPr>
                <w:rFonts w:ascii="Arial" w:hAnsi="Arial"/>
                <w:sz w:val="16"/>
              </w:rPr>
            </w:pPr>
            <w:r w:rsidRPr="00310DDC">
              <w:rPr>
                <w:rFonts w:ascii="Arial" w:hAnsi="Arial"/>
                <w:sz w:val="16"/>
              </w:rPr>
              <w:t>Nursing Interventions</w:t>
            </w:r>
          </w:p>
          <w:p w:rsidR="00C27E5B" w:rsidRPr="00310DDC" w:rsidRDefault="00C27E5B" w:rsidP="00DF0DE2">
            <w:pPr>
              <w:spacing w:after="0" w:line="240" w:lineRule="auto"/>
              <w:jc w:val="center"/>
              <w:rPr>
                <w:rFonts w:ascii="Arial" w:hAnsi="Arial"/>
                <w:sz w:val="16"/>
              </w:rPr>
            </w:pPr>
          </w:p>
          <w:p w:rsidR="00C27E5B" w:rsidRPr="00310DDC" w:rsidRDefault="00C27E5B" w:rsidP="00DF0DE2">
            <w:pPr>
              <w:spacing w:after="0" w:line="240" w:lineRule="auto"/>
              <w:jc w:val="center"/>
              <w:rPr>
                <w:rFonts w:ascii="Arial" w:hAnsi="Arial"/>
                <w:sz w:val="16"/>
              </w:rPr>
            </w:pPr>
          </w:p>
          <w:p w:rsidR="00C27E5B" w:rsidRPr="00310DDC" w:rsidRDefault="00C27E5B" w:rsidP="00DF0DE2">
            <w:pPr>
              <w:spacing w:after="0" w:line="240" w:lineRule="auto"/>
              <w:jc w:val="center"/>
              <w:rPr>
                <w:rFonts w:ascii="Arial" w:hAnsi="Arial"/>
                <w:sz w:val="16"/>
              </w:rPr>
            </w:pPr>
          </w:p>
          <w:p w:rsidR="00C27E5B" w:rsidRPr="00310DDC" w:rsidRDefault="00C27E5B" w:rsidP="00DF0DE2">
            <w:pPr>
              <w:spacing w:after="0" w:line="240" w:lineRule="auto"/>
              <w:jc w:val="center"/>
              <w:rPr>
                <w:rFonts w:ascii="Arial" w:hAnsi="Arial"/>
                <w:sz w:val="16"/>
              </w:rPr>
            </w:pPr>
          </w:p>
          <w:p w:rsidR="00C27E5B" w:rsidRPr="00310DDC" w:rsidRDefault="00C27E5B" w:rsidP="00DF0DE2">
            <w:pPr>
              <w:spacing w:after="0" w:line="240" w:lineRule="auto"/>
              <w:jc w:val="center"/>
              <w:rPr>
                <w:rFonts w:ascii="Arial" w:hAnsi="Arial"/>
                <w:sz w:val="16"/>
              </w:rPr>
            </w:pPr>
          </w:p>
          <w:p w:rsidR="00C27E5B" w:rsidRPr="00310DDC" w:rsidRDefault="00C27E5B" w:rsidP="00DF0DE2">
            <w:pPr>
              <w:spacing w:after="0" w:line="240" w:lineRule="auto"/>
              <w:jc w:val="center"/>
              <w:rPr>
                <w:rFonts w:ascii="Arial" w:hAnsi="Arial"/>
                <w:sz w:val="16"/>
              </w:rPr>
            </w:pPr>
          </w:p>
          <w:p w:rsidR="00C27E5B" w:rsidRPr="00310DDC" w:rsidRDefault="00C27E5B" w:rsidP="00DF0DE2">
            <w:pPr>
              <w:spacing w:after="0" w:line="240" w:lineRule="auto"/>
              <w:rPr>
                <w:sz w:val="16"/>
              </w:rPr>
            </w:pPr>
          </w:p>
        </w:tc>
        <w:tc>
          <w:tcPr>
            <w:tcW w:w="4050" w:type="dxa"/>
          </w:tcPr>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Use clonidine cautiously in elderly patients, who may be more sensitive to its hypotensive effect.</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Monitor blood pressure and heart rate often during clonidine therapy.</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Expect transdermal clonidine to take 2 to 3 days to lower blood pressure.</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Remove patch before patient has an MRI to avoid possible burns at the patch site.</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Be aware that stopping drug abruptly can elevate serum catecholamine levels and cause such withdrawal symptoms as nervousness, agitation, headache, confusion, tremor, and rebound hypertension.</w:t>
            </w:r>
          </w:p>
          <w:p w:rsidR="00C27E5B" w:rsidRPr="00310DDC" w:rsidRDefault="00C27E5B" w:rsidP="00DF0DE2">
            <w:pPr>
              <w:spacing w:after="0" w:line="240" w:lineRule="auto"/>
              <w:jc w:val="center"/>
              <w:rPr>
                <w:sz w:val="16"/>
              </w:rPr>
            </w:pPr>
            <w:r w:rsidRPr="00310DDC">
              <w:rPr>
                <w:rFonts w:ascii="Arial" w:hAnsi="Arial" w:cs="TimesNewRomanPSMT"/>
                <w:sz w:val="16"/>
                <w:szCs w:val="32"/>
              </w:rPr>
              <w:t>Expect hypertension to return within 48 hours after drug is discontinued.</w:t>
            </w:r>
          </w:p>
        </w:tc>
        <w:tc>
          <w:tcPr>
            <w:tcW w:w="2610" w:type="dxa"/>
          </w:tcPr>
          <w:p w:rsidR="00C27E5B" w:rsidRPr="00310DDC" w:rsidRDefault="00C27E5B" w:rsidP="00DF0DE2">
            <w:pPr>
              <w:spacing w:after="0" w:line="240" w:lineRule="auto"/>
              <w:rPr>
                <w:sz w:val="16"/>
              </w:rPr>
            </w:pPr>
            <w:r w:rsidRPr="00310DDC">
              <w:rPr>
                <w:rFonts w:ascii="Arial" w:hAnsi="Arial"/>
                <w:sz w:val="16"/>
              </w:rPr>
              <w:t>Nursing Interventions</w:t>
            </w:r>
          </w:p>
        </w:tc>
        <w:tc>
          <w:tcPr>
            <w:tcW w:w="3978" w:type="dxa"/>
          </w:tcPr>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Reconstitute parenteral warfarin just before administration with 2.7 ml of sterile water for injection to yield 2 mg/ml. Then administer slowly over 1 to 2 minutes through peripheral I.V.</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Expect to administer another parenteral anticoagulant, such as heparin or enoxaparin, with oral warfarin for at least 3 days, or until desired response occurs, before giving warfarin only.</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Avoid I.M. injections during warfarin therapy, if possible, because they can result in bleeding, bruising, and hematoma.</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Monitor INR (daily in acute care setting) and assess for therapeutic effects, as prescribed. Therapeutic INR levels are 2.0 to 3.0 for bioprosthetic heart valve, nonvalvular atrial fibrillation, and venous thromboembolism, and 2.5 to 3.5 after MI and for mechanical heart valve.</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Expect treatment to last up to 12 weeks for bioprosthetic heart valve, 1 to 3 months for nonvalvular atrial fibrillation or venous thromboembolism, and for rest of life after MI and for mechanical heart valve replacement.</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WARNING Be aware of the increased risk for intracranial hemorrhage if patient has cerebral ischemia (such as recent transient ischemic attack or minor ischemic CVA) and INR of 3 to 4.5. As prescribed, withhold next warfarin dose and give vitamin K if INR exceeds 4 because of the risk of bleeding.</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Assess for occult bleeding if patient receives I.V. lipid emulsion or other medical product that contains soybean oil. Such products can decrease vitamin K absorption and increase warfarin’s anticoagulant effect.</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DF0DE2">
            <w:pPr>
              <w:spacing w:after="0" w:line="240" w:lineRule="auto"/>
              <w:jc w:val="center"/>
              <w:rPr>
                <w:sz w:val="16"/>
              </w:rPr>
            </w:pPr>
          </w:p>
        </w:tc>
      </w:tr>
      <w:tr w:rsidR="00C27E5B" w:rsidRPr="00310DDC">
        <w:tc>
          <w:tcPr>
            <w:tcW w:w="2538" w:type="dxa"/>
          </w:tcPr>
          <w:p w:rsidR="00C27E5B" w:rsidRPr="00310DDC" w:rsidRDefault="00C27E5B" w:rsidP="00DF0DE2">
            <w:pPr>
              <w:spacing w:after="0" w:line="240" w:lineRule="auto"/>
              <w:rPr>
                <w:rFonts w:ascii="Arial" w:hAnsi="Arial"/>
                <w:sz w:val="16"/>
              </w:rPr>
            </w:pPr>
            <w:r w:rsidRPr="00310DDC">
              <w:rPr>
                <w:rFonts w:ascii="Arial" w:hAnsi="Arial"/>
                <w:sz w:val="16"/>
              </w:rPr>
              <w:t>Client Education</w:t>
            </w: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sz w:val="16"/>
              </w:rPr>
            </w:pPr>
          </w:p>
        </w:tc>
        <w:tc>
          <w:tcPr>
            <w:tcW w:w="4050" w:type="dxa"/>
          </w:tcPr>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Advise patient to take drug exactly as prescribed and not to stop abruptly because withdrawal symptoms and severe hypertension may occur.</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Instruct patient to consult prescriber if dry mouth or drowsiness becomes a problem during oral clonidine therapy. To minimize these effects, prescriber may suggest taking most of dosage at bedtime.</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If a transdermal patch loosens during the 7-day application period, tell patient to place the adhesive overlay directly over the patch to ensure adhesion.</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Tell patient to rotate transdermal sites.</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Instruct patient to remove patch and place a fresh one on another site if skin irritation, redness, or rash develops at the patch site.</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Advise patient to fold used transdermal patch in half with adhesive sides together and discard it out of the reach of children.</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Because of possible sedation, advise patient to avoid potentially hazardous activities until drug’s CNS effects are known.</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Advise men that libido may decrease.</w:t>
            </w:r>
          </w:p>
          <w:p w:rsidR="00C27E5B" w:rsidRPr="00310DDC" w:rsidRDefault="00C27E5B" w:rsidP="00DF0DE2">
            <w:pPr>
              <w:spacing w:after="0" w:line="240" w:lineRule="auto"/>
              <w:jc w:val="center"/>
              <w:rPr>
                <w:sz w:val="16"/>
              </w:rPr>
            </w:pPr>
            <w:r w:rsidRPr="00310DDC">
              <w:rPr>
                <w:rFonts w:ascii="Arial" w:hAnsi="Arial" w:cs="TimesNewRomanPSMT"/>
                <w:sz w:val="16"/>
                <w:szCs w:val="32"/>
              </w:rPr>
              <w:t>Instruct patient to report chest pain, dizziness with position changes, excessive drowsiness, rash, urine retention, and vision changes. As needed, tell patient to rise slowly to avoid hypotensive effects.</w:t>
            </w:r>
          </w:p>
        </w:tc>
        <w:tc>
          <w:tcPr>
            <w:tcW w:w="2610" w:type="dxa"/>
          </w:tcPr>
          <w:p w:rsidR="00C27E5B" w:rsidRPr="00310DDC" w:rsidRDefault="00C27E5B" w:rsidP="00DF0DE2">
            <w:pPr>
              <w:spacing w:after="0" w:line="240" w:lineRule="auto"/>
              <w:rPr>
                <w:sz w:val="16"/>
              </w:rPr>
            </w:pPr>
            <w:r w:rsidRPr="00310DDC">
              <w:rPr>
                <w:rFonts w:ascii="Arial" w:hAnsi="Arial"/>
                <w:sz w:val="16"/>
              </w:rPr>
              <w:t>Client Education</w:t>
            </w:r>
          </w:p>
        </w:tc>
        <w:tc>
          <w:tcPr>
            <w:tcW w:w="3978" w:type="dxa"/>
          </w:tcPr>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Explain that warfarin therapy aims to prevent thrombosis by decreasing clotting ability while avoiding the risk of spontaneous bleeding.</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Instruct patient to take drug exactly as prescribed at the same time each evening.</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Urge patient to keep weekly follow-up appointments for blood tests after discharge until PT and INR levels are stabilized.</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Advise patient to avoid alcohol during warfarin therapy.</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Urge patient to take precautions against bleeding, such as using an electric shaver and a soft-bristled toothbrush. Advise him to continue these precautions for 2 to 5 days after therapy stops, as directed, because anticoagulant effect may persist during this time.</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Caution patient to avoid activities that could cause traumatic injury and bleeding.</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Advise patient to eat consistent amounts of vitamin K–rich foods, such as dark green, leafy vegetables.</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Urge patient to notify prescriber immediately about unusual bleeding and any unexplained symptoms, such as abnormal vaginal bleeding; dizziness; easy bruising; gum bleeding; headache; nosebleeds; prolonged bleeding from cuts; red, black, or tarry stool; red or dark brown urine; swelling; and weakness.</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Advise patient to consult prescriber before taking other drugs—including OTC drugs and herbal remedies—during therapy.</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Instruct female patient of childbearing age to stop taking warfarin and notify prescriber immediately about known or suspected pregnancy.</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Explain that drug may cause reversible purpletoe syndrome and that this syndrome isn’t harmful.</w:t>
            </w:r>
          </w:p>
          <w:p w:rsidR="00C27E5B" w:rsidRPr="00310DDC" w:rsidRDefault="00C27E5B" w:rsidP="00DF0DE2">
            <w:pPr>
              <w:spacing w:after="0" w:line="240" w:lineRule="auto"/>
              <w:jc w:val="center"/>
              <w:rPr>
                <w:sz w:val="16"/>
              </w:rPr>
            </w:pPr>
            <w:r w:rsidRPr="00310DDC">
              <w:rPr>
                <w:rFonts w:ascii="Arial" w:hAnsi="Arial" w:cs="TimesNewRomanPSMT"/>
                <w:sz w:val="16"/>
                <w:szCs w:val="32"/>
              </w:rPr>
              <w:t>Urge patient to carry medical identification that reveals he’s taking warfarin therapy.</w:t>
            </w:r>
          </w:p>
        </w:tc>
      </w:tr>
    </w:tbl>
    <w:p w:rsidR="00C27E5B" w:rsidRPr="00310DDC" w:rsidRDefault="00C27E5B" w:rsidP="001D5476">
      <w:pPr>
        <w:jc w:val="center"/>
        <w:rPr>
          <w:rFonts w:ascii="Arial" w:hAnsi="Arial"/>
          <w:sz w:val="16"/>
        </w:rPr>
      </w:pPr>
    </w:p>
    <w:tbl>
      <w:tblPr>
        <w:tblStyle w:val="TableGrid"/>
        <w:tblW w:w="0" w:type="auto"/>
        <w:tblLook w:val="00A0"/>
      </w:tblPr>
      <w:tblGrid>
        <w:gridCol w:w="2538"/>
        <w:gridCol w:w="4050"/>
        <w:gridCol w:w="2610"/>
        <w:gridCol w:w="3978"/>
      </w:tblGrid>
      <w:tr w:rsidR="00C27E5B" w:rsidRPr="00310DDC">
        <w:tc>
          <w:tcPr>
            <w:tcW w:w="2538" w:type="dxa"/>
          </w:tcPr>
          <w:p w:rsidR="00C27E5B" w:rsidRPr="00310DDC" w:rsidRDefault="00C27E5B" w:rsidP="00DF0DE2">
            <w:pPr>
              <w:spacing w:after="0" w:line="240" w:lineRule="auto"/>
              <w:rPr>
                <w:rFonts w:ascii="Arial" w:hAnsi="Arial"/>
                <w:sz w:val="16"/>
              </w:rPr>
            </w:pPr>
            <w:r w:rsidRPr="00310DDC">
              <w:rPr>
                <w:rFonts w:ascii="Arial" w:hAnsi="Arial"/>
                <w:sz w:val="16"/>
              </w:rPr>
              <w:t>Medication &amp; Classification</w:t>
            </w:r>
          </w:p>
          <w:p w:rsidR="00C27E5B" w:rsidRPr="00310DDC" w:rsidRDefault="00C27E5B" w:rsidP="00DF0DE2">
            <w:pPr>
              <w:spacing w:after="0" w:line="240" w:lineRule="auto"/>
              <w:rPr>
                <w:sz w:val="16"/>
              </w:rPr>
            </w:pPr>
          </w:p>
        </w:tc>
        <w:tc>
          <w:tcPr>
            <w:tcW w:w="4050" w:type="dxa"/>
          </w:tcPr>
          <w:p w:rsidR="00C27E5B" w:rsidRPr="00310DDC" w:rsidRDefault="00C27E5B" w:rsidP="00DF0DE2">
            <w:pPr>
              <w:spacing w:after="0" w:line="240" w:lineRule="auto"/>
              <w:jc w:val="center"/>
              <w:rPr>
                <w:rFonts w:ascii="Arial" w:hAnsi="Arial"/>
                <w:sz w:val="16"/>
              </w:rPr>
            </w:pPr>
            <w:r w:rsidRPr="00310DDC">
              <w:rPr>
                <w:rFonts w:ascii="Arial" w:hAnsi="Arial"/>
                <w:sz w:val="16"/>
              </w:rPr>
              <w:t>triamterene  (Dyrenium)</w:t>
            </w:r>
          </w:p>
          <w:p w:rsidR="00C27E5B" w:rsidRPr="00310DDC" w:rsidRDefault="00C27E5B" w:rsidP="00DF0DE2">
            <w:pPr>
              <w:spacing w:after="0" w:line="240" w:lineRule="auto"/>
              <w:jc w:val="center"/>
              <w:rPr>
                <w:rFonts w:ascii="Arial" w:hAnsi="Arial"/>
                <w:sz w:val="16"/>
              </w:rPr>
            </w:pPr>
            <w:r w:rsidRPr="00310DDC">
              <w:rPr>
                <w:rFonts w:ascii="Arial" w:hAnsi="Arial"/>
                <w:sz w:val="16"/>
              </w:rPr>
              <w:t>pharmacological: pterdine derivative</w:t>
            </w:r>
          </w:p>
          <w:p w:rsidR="00C27E5B" w:rsidRPr="00310DDC" w:rsidRDefault="00C27E5B" w:rsidP="00DF0DE2">
            <w:pPr>
              <w:spacing w:after="0" w:line="240" w:lineRule="auto"/>
              <w:jc w:val="center"/>
              <w:rPr>
                <w:sz w:val="16"/>
              </w:rPr>
            </w:pPr>
            <w:r w:rsidRPr="00310DDC">
              <w:rPr>
                <w:rFonts w:ascii="Arial" w:hAnsi="Arial"/>
                <w:sz w:val="16"/>
              </w:rPr>
              <w:t xml:space="preserve">therapeutic: diuretic </w:t>
            </w:r>
          </w:p>
        </w:tc>
        <w:tc>
          <w:tcPr>
            <w:tcW w:w="2610" w:type="dxa"/>
          </w:tcPr>
          <w:p w:rsidR="00C27E5B" w:rsidRPr="00310DDC" w:rsidRDefault="00C27E5B" w:rsidP="00DF0DE2">
            <w:pPr>
              <w:spacing w:after="0" w:line="240" w:lineRule="auto"/>
              <w:rPr>
                <w:sz w:val="16"/>
              </w:rPr>
            </w:pPr>
            <w:r w:rsidRPr="00310DDC">
              <w:rPr>
                <w:rFonts w:ascii="Arial" w:hAnsi="Arial"/>
                <w:sz w:val="16"/>
              </w:rPr>
              <w:t>Medication &amp; Classification</w:t>
            </w:r>
          </w:p>
        </w:tc>
        <w:tc>
          <w:tcPr>
            <w:tcW w:w="3978" w:type="dxa"/>
          </w:tcPr>
          <w:p w:rsidR="00C27E5B" w:rsidRPr="00310DDC" w:rsidRDefault="00C27E5B" w:rsidP="00DF0DE2">
            <w:pPr>
              <w:spacing w:after="0" w:line="240" w:lineRule="auto"/>
              <w:jc w:val="center"/>
              <w:rPr>
                <w:sz w:val="16"/>
              </w:rPr>
            </w:pPr>
          </w:p>
        </w:tc>
      </w:tr>
      <w:tr w:rsidR="00C27E5B" w:rsidRPr="00310DDC">
        <w:tc>
          <w:tcPr>
            <w:tcW w:w="2538" w:type="dxa"/>
          </w:tcPr>
          <w:p w:rsidR="00C27E5B" w:rsidRPr="00310DDC" w:rsidRDefault="00C27E5B" w:rsidP="00DF0DE2">
            <w:pPr>
              <w:spacing w:after="0" w:line="240" w:lineRule="auto"/>
              <w:rPr>
                <w:rFonts w:ascii="Arial" w:hAnsi="Arial"/>
                <w:sz w:val="16"/>
              </w:rPr>
            </w:pPr>
            <w:r w:rsidRPr="00310DDC">
              <w:rPr>
                <w:rFonts w:ascii="Arial" w:hAnsi="Arial"/>
                <w:sz w:val="16"/>
              </w:rPr>
              <w:t>Ordered Dose</w:t>
            </w:r>
          </w:p>
          <w:p w:rsidR="00C27E5B" w:rsidRPr="00310DDC" w:rsidRDefault="00C27E5B" w:rsidP="00DF0DE2">
            <w:pPr>
              <w:spacing w:after="0" w:line="240" w:lineRule="auto"/>
              <w:rPr>
                <w:sz w:val="16"/>
              </w:rPr>
            </w:pPr>
          </w:p>
        </w:tc>
        <w:tc>
          <w:tcPr>
            <w:tcW w:w="4050" w:type="dxa"/>
          </w:tcPr>
          <w:p w:rsidR="00C27E5B" w:rsidRPr="00310DDC" w:rsidRDefault="00C27E5B" w:rsidP="00DF0DE2">
            <w:pPr>
              <w:spacing w:after="0" w:line="240" w:lineRule="auto"/>
              <w:jc w:val="center"/>
              <w:rPr>
                <w:sz w:val="16"/>
              </w:rPr>
            </w:pPr>
            <w:r w:rsidRPr="00310DDC">
              <w:rPr>
                <w:rFonts w:ascii="Arial" w:hAnsi="Arial"/>
                <w:sz w:val="16"/>
              </w:rPr>
              <w:t>75 mg</w:t>
            </w:r>
          </w:p>
        </w:tc>
        <w:tc>
          <w:tcPr>
            <w:tcW w:w="2610" w:type="dxa"/>
          </w:tcPr>
          <w:p w:rsidR="00C27E5B" w:rsidRPr="00310DDC" w:rsidRDefault="00C27E5B" w:rsidP="00DF0DE2">
            <w:pPr>
              <w:spacing w:after="0" w:line="240" w:lineRule="auto"/>
              <w:rPr>
                <w:sz w:val="16"/>
              </w:rPr>
            </w:pPr>
            <w:r w:rsidRPr="00310DDC">
              <w:rPr>
                <w:rFonts w:ascii="Arial" w:hAnsi="Arial"/>
                <w:sz w:val="16"/>
              </w:rPr>
              <w:t>Ordered Dose</w:t>
            </w:r>
          </w:p>
        </w:tc>
        <w:tc>
          <w:tcPr>
            <w:tcW w:w="3978" w:type="dxa"/>
          </w:tcPr>
          <w:p w:rsidR="00C27E5B" w:rsidRPr="00310DDC" w:rsidRDefault="00C27E5B" w:rsidP="00DF0DE2">
            <w:pPr>
              <w:spacing w:after="0" w:line="240" w:lineRule="auto"/>
              <w:jc w:val="center"/>
              <w:rPr>
                <w:sz w:val="16"/>
              </w:rPr>
            </w:pPr>
          </w:p>
        </w:tc>
      </w:tr>
      <w:tr w:rsidR="00C27E5B" w:rsidRPr="00310DDC">
        <w:tc>
          <w:tcPr>
            <w:tcW w:w="2538" w:type="dxa"/>
          </w:tcPr>
          <w:p w:rsidR="00C27E5B" w:rsidRPr="00310DDC" w:rsidRDefault="00C27E5B" w:rsidP="00DF0DE2">
            <w:pPr>
              <w:spacing w:after="0" w:line="240" w:lineRule="auto"/>
              <w:rPr>
                <w:rFonts w:ascii="Arial" w:hAnsi="Arial"/>
                <w:sz w:val="16"/>
              </w:rPr>
            </w:pPr>
            <w:r w:rsidRPr="00310DDC">
              <w:rPr>
                <w:rFonts w:ascii="Arial" w:hAnsi="Arial"/>
                <w:sz w:val="16"/>
              </w:rPr>
              <w:t>Recommended Dose</w:t>
            </w:r>
          </w:p>
          <w:p w:rsidR="00C27E5B" w:rsidRPr="00310DDC" w:rsidRDefault="00C27E5B" w:rsidP="00DF0DE2">
            <w:pPr>
              <w:spacing w:after="0" w:line="240" w:lineRule="auto"/>
              <w:rPr>
                <w:sz w:val="16"/>
              </w:rPr>
            </w:pPr>
          </w:p>
        </w:tc>
        <w:tc>
          <w:tcPr>
            <w:tcW w:w="4050" w:type="dxa"/>
          </w:tcPr>
          <w:p w:rsidR="00C27E5B" w:rsidRPr="00310DDC" w:rsidRDefault="00C27E5B" w:rsidP="00DF0DE2">
            <w:pPr>
              <w:spacing w:after="0" w:line="240" w:lineRule="auto"/>
              <w:jc w:val="center"/>
              <w:rPr>
                <w:sz w:val="16"/>
              </w:rPr>
            </w:pPr>
            <w:r w:rsidRPr="00310DDC">
              <w:rPr>
                <w:rFonts w:ascii="Arial" w:hAnsi="Arial"/>
                <w:sz w:val="16"/>
              </w:rPr>
              <w:t>25mg-300mg</w:t>
            </w:r>
          </w:p>
        </w:tc>
        <w:tc>
          <w:tcPr>
            <w:tcW w:w="2610" w:type="dxa"/>
          </w:tcPr>
          <w:p w:rsidR="00C27E5B" w:rsidRPr="00310DDC" w:rsidRDefault="00C27E5B" w:rsidP="00DF0DE2">
            <w:pPr>
              <w:spacing w:after="0" w:line="240" w:lineRule="auto"/>
              <w:rPr>
                <w:sz w:val="16"/>
              </w:rPr>
            </w:pPr>
            <w:r w:rsidRPr="00310DDC">
              <w:rPr>
                <w:rFonts w:ascii="Arial" w:hAnsi="Arial"/>
                <w:sz w:val="16"/>
              </w:rPr>
              <w:t>Recommended Dose</w:t>
            </w:r>
          </w:p>
        </w:tc>
        <w:tc>
          <w:tcPr>
            <w:tcW w:w="3978" w:type="dxa"/>
          </w:tcPr>
          <w:p w:rsidR="00C27E5B" w:rsidRPr="00310DDC" w:rsidRDefault="00C27E5B" w:rsidP="00DF0DE2">
            <w:pPr>
              <w:spacing w:after="0" w:line="240" w:lineRule="auto"/>
              <w:jc w:val="center"/>
              <w:rPr>
                <w:sz w:val="16"/>
              </w:rPr>
            </w:pPr>
          </w:p>
        </w:tc>
      </w:tr>
      <w:tr w:rsidR="00C27E5B" w:rsidRPr="00310DDC">
        <w:tc>
          <w:tcPr>
            <w:tcW w:w="2538" w:type="dxa"/>
          </w:tcPr>
          <w:p w:rsidR="00C27E5B" w:rsidRPr="00310DDC" w:rsidRDefault="00C27E5B" w:rsidP="00DF0DE2">
            <w:pPr>
              <w:spacing w:after="0" w:line="240" w:lineRule="auto"/>
              <w:rPr>
                <w:sz w:val="16"/>
              </w:rPr>
            </w:pPr>
            <w:r w:rsidRPr="00310DDC">
              <w:rPr>
                <w:rFonts w:ascii="Arial" w:hAnsi="Arial"/>
                <w:sz w:val="16"/>
              </w:rPr>
              <w:t>Food &amp; Medication Interactions</w:t>
            </w:r>
          </w:p>
        </w:tc>
        <w:tc>
          <w:tcPr>
            <w:tcW w:w="4050" w:type="dxa"/>
          </w:tcPr>
          <w:p w:rsidR="00C27E5B" w:rsidRPr="00310DDC" w:rsidRDefault="00C27E5B" w:rsidP="00310DDC">
            <w:pPr>
              <w:widowControl w:val="0"/>
              <w:autoSpaceDE w:val="0"/>
              <w:autoSpaceDN w:val="0"/>
              <w:adjustRightInd w:val="0"/>
              <w:spacing w:after="0" w:line="240" w:lineRule="auto"/>
              <w:rPr>
                <w:rFonts w:ascii="Arial" w:hAnsi="Arial" w:cs="TimesNewRomanPSMT"/>
                <w:b/>
                <w:bCs/>
                <w:sz w:val="16"/>
                <w:szCs w:val="32"/>
              </w:rPr>
            </w:pPr>
            <w:r w:rsidRPr="00310DDC">
              <w:rPr>
                <w:rFonts w:ascii="Arial" w:hAnsi="Arial" w:cs="TimesNewRomanPSMT"/>
                <w:b/>
                <w:bCs/>
                <w:sz w:val="16"/>
                <w:szCs w:val="32"/>
              </w:rPr>
              <w:t>Drugs</w:t>
            </w: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ACE inhibitors, amiloride, angiotensin-II receptor antagonists, cyclosporine, heparin, potassium-containing drugs, potassium salts, potassium supplements, spironolactone:</w:t>
            </w:r>
            <w:r w:rsidRPr="00310DDC">
              <w:rPr>
                <w:rFonts w:ascii="Arial" w:hAnsi="Arial" w:cs="TimesNewRomanPSMT"/>
                <w:sz w:val="16"/>
                <w:szCs w:val="32"/>
              </w:rPr>
              <w:t xml:space="preserve"> Increased risk of hyperkalemia</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amantadine:</w:t>
            </w:r>
            <w:r w:rsidRPr="00310DDC">
              <w:rPr>
                <w:rFonts w:ascii="Arial" w:hAnsi="Arial" w:cs="TimesNewRomanPSMT"/>
                <w:sz w:val="16"/>
                <w:szCs w:val="32"/>
              </w:rPr>
              <w:t xml:space="preserve"> Decreased amantadine clearance, possibly amantadine toxicity</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antihypertensives:</w:t>
            </w:r>
            <w:r w:rsidRPr="00310DDC">
              <w:rPr>
                <w:rFonts w:ascii="Arial" w:hAnsi="Arial" w:cs="TimesNewRomanPSMT"/>
                <w:sz w:val="16"/>
                <w:szCs w:val="32"/>
              </w:rPr>
              <w:t xml:space="preserve"> Increased antihypertensive effect</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diuretics:</w:t>
            </w:r>
            <w:r w:rsidRPr="00310DDC">
              <w:rPr>
                <w:rFonts w:ascii="Arial" w:hAnsi="Arial" w:cs="TimesNewRomanPSMT"/>
                <w:sz w:val="16"/>
                <w:szCs w:val="32"/>
              </w:rPr>
              <w:t xml:space="preserve"> Increased diuretic effect</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folic acid:</w:t>
            </w:r>
            <w:r w:rsidRPr="00310DDC">
              <w:rPr>
                <w:rFonts w:ascii="Arial" w:hAnsi="Arial" w:cs="TimesNewRomanPSMT"/>
                <w:sz w:val="16"/>
                <w:szCs w:val="32"/>
              </w:rPr>
              <w:t xml:space="preserve"> Possibly antagonized action of folic acid</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indomethacin:</w:t>
            </w:r>
            <w:r w:rsidRPr="00310DDC">
              <w:rPr>
                <w:rFonts w:ascii="Arial" w:hAnsi="Arial" w:cs="TimesNewRomanPSMT"/>
                <w:sz w:val="16"/>
                <w:szCs w:val="32"/>
              </w:rPr>
              <w:t xml:space="preserve"> Increased risk of renal impairment</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lithium:</w:t>
            </w:r>
            <w:r w:rsidRPr="00310DDC">
              <w:rPr>
                <w:rFonts w:ascii="Arial" w:hAnsi="Arial" w:cs="TimesNewRomanPSMT"/>
                <w:sz w:val="16"/>
                <w:szCs w:val="32"/>
              </w:rPr>
              <w:t xml:space="preserve"> Increased risk of lithium toxicity</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NSAIDs:</w:t>
            </w:r>
            <w:r w:rsidRPr="00310DDC">
              <w:rPr>
                <w:rFonts w:ascii="Arial" w:hAnsi="Arial" w:cs="TimesNewRomanPSMT"/>
                <w:sz w:val="16"/>
                <w:szCs w:val="32"/>
              </w:rPr>
              <w:t xml:space="preserve"> Decreased diuretic effect of triamterene, increased risk of hyperkalemia</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p>
          <w:p w:rsidR="00C27E5B" w:rsidRPr="00310DDC" w:rsidRDefault="00C27E5B" w:rsidP="00310DDC">
            <w:pPr>
              <w:widowControl w:val="0"/>
              <w:numPr>
                <w:ilvl w:val="0"/>
                <w:numId w:val="1"/>
              </w:numPr>
              <w:autoSpaceDE w:val="0"/>
              <w:autoSpaceDN w:val="0"/>
              <w:adjustRightInd w:val="0"/>
              <w:spacing w:after="0" w:line="240" w:lineRule="auto"/>
              <w:rPr>
                <w:rFonts w:ascii="Arial" w:hAnsi="Arial" w:cs="TimesNewRomanPSMT"/>
                <w:sz w:val="16"/>
                <w:szCs w:val="32"/>
              </w:rPr>
            </w:pPr>
            <w:r w:rsidRPr="00310DDC">
              <w:rPr>
                <w:rFonts w:ascii="Arial" w:hAnsi="Arial" w:cs="TimesNewRomanPSMT"/>
                <w:i/>
                <w:iCs/>
                <w:sz w:val="16"/>
                <w:szCs w:val="32"/>
              </w:rPr>
              <w:t>oral antidiabetic drugs:</w:t>
            </w:r>
            <w:r w:rsidRPr="00310DDC">
              <w:rPr>
                <w:rFonts w:ascii="Arial" w:hAnsi="Arial" w:cs="TimesNewRomanPSMT"/>
                <w:sz w:val="16"/>
                <w:szCs w:val="32"/>
              </w:rPr>
              <w:t xml:space="preserve"> Altered blood glucose control</w:t>
            </w:r>
          </w:p>
          <w:p w:rsidR="00C27E5B" w:rsidRPr="00310DDC" w:rsidRDefault="00C27E5B" w:rsidP="00DF0DE2">
            <w:pPr>
              <w:spacing w:after="0" w:line="240" w:lineRule="auto"/>
              <w:jc w:val="center"/>
              <w:rPr>
                <w:sz w:val="16"/>
              </w:rPr>
            </w:pPr>
          </w:p>
        </w:tc>
        <w:tc>
          <w:tcPr>
            <w:tcW w:w="2610" w:type="dxa"/>
          </w:tcPr>
          <w:p w:rsidR="00C27E5B" w:rsidRPr="00310DDC" w:rsidRDefault="00C27E5B" w:rsidP="00DF0DE2">
            <w:pPr>
              <w:spacing w:after="0" w:line="240" w:lineRule="auto"/>
              <w:rPr>
                <w:sz w:val="16"/>
              </w:rPr>
            </w:pPr>
            <w:r w:rsidRPr="00310DDC">
              <w:rPr>
                <w:rFonts w:ascii="Arial" w:hAnsi="Arial"/>
                <w:sz w:val="16"/>
              </w:rPr>
              <w:t>Food &amp; Medication Interactions</w:t>
            </w:r>
          </w:p>
        </w:tc>
        <w:tc>
          <w:tcPr>
            <w:tcW w:w="3978" w:type="dxa"/>
          </w:tcPr>
          <w:p w:rsidR="00C27E5B" w:rsidRPr="00310DDC" w:rsidRDefault="00C27E5B" w:rsidP="00DF0DE2">
            <w:pPr>
              <w:spacing w:after="0" w:line="240" w:lineRule="auto"/>
              <w:jc w:val="center"/>
              <w:rPr>
                <w:sz w:val="16"/>
              </w:rPr>
            </w:pPr>
          </w:p>
        </w:tc>
      </w:tr>
      <w:tr w:rsidR="00C27E5B" w:rsidRPr="00310DDC">
        <w:tc>
          <w:tcPr>
            <w:tcW w:w="2538" w:type="dxa"/>
          </w:tcPr>
          <w:p w:rsidR="00C27E5B" w:rsidRPr="00310DDC" w:rsidRDefault="00C27E5B" w:rsidP="00DF0DE2">
            <w:pPr>
              <w:spacing w:after="0" w:line="240" w:lineRule="auto"/>
              <w:rPr>
                <w:rFonts w:ascii="Arial" w:hAnsi="Arial"/>
                <w:sz w:val="16"/>
              </w:rPr>
            </w:pPr>
            <w:r w:rsidRPr="00310DDC">
              <w:rPr>
                <w:rFonts w:ascii="Arial" w:hAnsi="Arial"/>
                <w:sz w:val="16"/>
              </w:rPr>
              <w:t>Side Effects</w:t>
            </w: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sz w:val="16"/>
              </w:rPr>
            </w:pPr>
          </w:p>
        </w:tc>
        <w:tc>
          <w:tcPr>
            <w:tcW w:w="4050" w:type="dxa"/>
          </w:tcPr>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b/>
                <w:bCs/>
                <w:sz w:val="16"/>
                <w:szCs w:val="32"/>
              </w:rPr>
              <w:t>CNS:</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Dizziness, fatigue, headache, weakness</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b/>
                <w:bCs/>
                <w:sz w:val="16"/>
                <w:szCs w:val="32"/>
              </w:rPr>
              <w:t>EENT:</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Dry mouth</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b/>
                <w:bCs/>
                <w:sz w:val="16"/>
                <w:szCs w:val="32"/>
              </w:rPr>
              <w:t>ENDO:</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Hyperglycemia, hypoglycemia</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b/>
                <w:bCs/>
                <w:sz w:val="16"/>
                <w:szCs w:val="32"/>
              </w:rPr>
              <w:t>GI:</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Diarrhea, nausea, vomiting</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b/>
                <w:bCs/>
                <w:sz w:val="16"/>
                <w:szCs w:val="32"/>
              </w:rPr>
              <w:t>GU:</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Azotemia, elevated BUN and serum creatinine levels, renal calculi</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b/>
                <w:bCs/>
                <w:sz w:val="16"/>
                <w:szCs w:val="32"/>
              </w:rPr>
              <w:t>SKIN:</w:t>
            </w:r>
          </w:p>
          <w:p w:rsidR="00C27E5B" w:rsidRPr="00310DDC" w:rsidRDefault="00C27E5B" w:rsidP="00310DDC">
            <w:pPr>
              <w:widowControl w:val="0"/>
              <w:autoSpaceDE w:val="0"/>
              <w:autoSpaceDN w:val="0"/>
              <w:adjustRightInd w:val="0"/>
              <w:spacing w:after="0" w:line="240" w:lineRule="auto"/>
              <w:rPr>
                <w:rFonts w:ascii="Arial" w:hAnsi="Arial" w:cs="TimesNewRomanPSMT"/>
                <w:sz w:val="16"/>
                <w:szCs w:val="32"/>
              </w:rPr>
            </w:pPr>
            <w:r w:rsidRPr="00310DDC">
              <w:rPr>
                <w:rFonts w:ascii="Arial" w:hAnsi="Arial" w:cs="TimesNewRomanPSMT"/>
                <w:sz w:val="16"/>
                <w:szCs w:val="32"/>
              </w:rPr>
              <w:t>Jaundice, photosensitivity, rash</w:t>
            </w:r>
          </w:p>
          <w:p w:rsidR="00C27E5B" w:rsidRPr="00310DDC" w:rsidRDefault="00C27E5B" w:rsidP="00DF0DE2">
            <w:pPr>
              <w:spacing w:after="0" w:line="240" w:lineRule="auto"/>
              <w:jc w:val="center"/>
              <w:rPr>
                <w:sz w:val="16"/>
              </w:rPr>
            </w:pPr>
          </w:p>
        </w:tc>
        <w:tc>
          <w:tcPr>
            <w:tcW w:w="2610" w:type="dxa"/>
          </w:tcPr>
          <w:p w:rsidR="00C27E5B" w:rsidRPr="00310DDC" w:rsidRDefault="00C27E5B" w:rsidP="00DF0DE2">
            <w:pPr>
              <w:spacing w:after="0" w:line="240" w:lineRule="auto"/>
              <w:rPr>
                <w:sz w:val="16"/>
              </w:rPr>
            </w:pPr>
            <w:r w:rsidRPr="00310DDC">
              <w:rPr>
                <w:rFonts w:ascii="Arial" w:hAnsi="Arial"/>
                <w:sz w:val="16"/>
              </w:rPr>
              <w:t>Side Effects</w:t>
            </w:r>
          </w:p>
        </w:tc>
        <w:tc>
          <w:tcPr>
            <w:tcW w:w="3978" w:type="dxa"/>
          </w:tcPr>
          <w:p w:rsidR="00C27E5B" w:rsidRPr="00310DDC" w:rsidRDefault="00C27E5B" w:rsidP="00DF0DE2">
            <w:pPr>
              <w:spacing w:after="0" w:line="240" w:lineRule="auto"/>
              <w:jc w:val="center"/>
              <w:rPr>
                <w:sz w:val="16"/>
              </w:rPr>
            </w:pPr>
          </w:p>
        </w:tc>
      </w:tr>
      <w:tr w:rsidR="00C27E5B" w:rsidRPr="00310DDC">
        <w:tc>
          <w:tcPr>
            <w:tcW w:w="2538" w:type="dxa"/>
          </w:tcPr>
          <w:p w:rsidR="00C27E5B" w:rsidRPr="00310DDC" w:rsidRDefault="00C27E5B" w:rsidP="00DF0DE2">
            <w:pPr>
              <w:spacing w:after="0" w:line="240" w:lineRule="auto"/>
              <w:jc w:val="center"/>
              <w:rPr>
                <w:rFonts w:ascii="Arial" w:hAnsi="Arial"/>
                <w:sz w:val="16"/>
              </w:rPr>
            </w:pPr>
            <w:r w:rsidRPr="00310DDC">
              <w:rPr>
                <w:rFonts w:ascii="Arial" w:hAnsi="Arial"/>
                <w:sz w:val="16"/>
              </w:rPr>
              <w:t>Nursing Interventions</w:t>
            </w:r>
          </w:p>
          <w:p w:rsidR="00C27E5B" w:rsidRPr="00310DDC" w:rsidRDefault="00C27E5B" w:rsidP="00DF0DE2">
            <w:pPr>
              <w:spacing w:after="0" w:line="240" w:lineRule="auto"/>
              <w:jc w:val="center"/>
              <w:rPr>
                <w:rFonts w:ascii="Arial" w:hAnsi="Arial"/>
                <w:sz w:val="16"/>
              </w:rPr>
            </w:pPr>
          </w:p>
          <w:p w:rsidR="00C27E5B" w:rsidRPr="00310DDC" w:rsidRDefault="00C27E5B" w:rsidP="00DF0DE2">
            <w:pPr>
              <w:spacing w:after="0" w:line="240" w:lineRule="auto"/>
              <w:jc w:val="center"/>
              <w:rPr>
                <w:rFonts w:ascii="Arial" w:hAnsi="Arial"/>
                <w:sz w:val="16"/>
              </w:rPr>
            </w:pPr>
          </w:p>
          <w:p w:rsidR="00C27E5B" w:rsidRPr="00310DDC" w:rsidRDefault="00C27E5B" w:rsidP="00DF0DE2">
            <w:pPr>
              <w:spacing w:after="0" w:line="240" w:lineRule="auto"/>
              <w:jc w:val="center"/>
              <w:rPr>
                <w:rFonts w:ascii="Arial" w:hAnsi="Arial"/>
                <w:sz w:val="16"/>
              </w:rPr>
            </w:pPr>
          </w:p>
          <w:p w:rsidR="00C27E5B" w:rsidRPr="00310DDC" w:rsidRDefault="00C27E5B" w:rsidP="00DF0DE2">
            <w:pPr>
              <w:spacing w:after="0" w:line="240" w:lineRule="auto"/>
              <w:jc w:val="center"/>
              <w:rPr>
                <w:rFonts w:ascii="Arial" w:hAnsi="Arial"/>
                <w:sz w:val="16"/>
              </w:rPr>
            </w:pPr>
          </w:p>
          <w:p w:rsidR="00C27E5B" w:rsidRPr="00310DDC" w:rsidRDefault="00C27E5B" w:rsidP="00DF0DE2">
            <w:pPr>
              <w:spacing w:after="0" w:line="240" w:lineRule="auto"/>
              <w:jc w:val="center"/>
              <w:rPr>
                <w:rFonts w:ascii="Arial" w:hAnsi="Arial"/>
                <w:sz w:val="16"/>
              </w:rPr>
            </w:pPr>
          </w:p>
          <w:p w:rsidR="00C27E5B" w:rsidRPr="00310DDC" w:rsidRDefault="00C27E5B" w:rsidP="00DF0DE2">
            <w:pPr>
              <w:spacing w:after="0" w:line="240" w:lineRule="auto"/>
              <w:jc w:val="center"/>
              <w:rPr>
                <w:rFonts w:ascii="Arial" w:hAnsi="Arial"/>
                <w:sz w:val="16"/>
              </w:rPr>
            </w:pPr>
          </w:p>
          <w:p w:rsidR="00C27E5B" w:rsidRPr="00310DDC" w:rsidRDefault="00C27E5B" w:rsidP="00DF0DE2">
            <w:pPr>
              <w:spacing w:after="0" w:line="240" w:lineRule="auto"/>
              <w:rPr>
                <w:sz w:val="16"/>
              </w:rPr>
            </w:pPr>
          </w:p>
        </w:tc>
        <w:tc>
          <w:tcPr>
            <w:tcW w:w="4050" w:type="dxa"/>
          </w:tcPr>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Be aware that triamterene shouldn’t be given to patient with creatinine clearance below 10 ml/min/1.73 m2 because this condition increases the risk of drug-induced hyperkalemia.</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Monitor serum potassium level during therapy, especially in patient with renal impairment or diabetes mellitus. Also monitor patient’s BUN and serum creatinine levels to assess renal function and prevent hyperkalemia.</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Monitor patient for irregular heartbeat, which is usually the first sign of hyperkalemia.</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If you suspect hyperkalemia, obtain an ECG tracing, as ordered. A widened QRS complex or an arrhythmia requires prompt additional therapy.</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Monitor laboratory test results and watch for signs of metabolic or respiratory acidosis, which may occur suddenly in patient with cardiac disease or uncontrolled diabetes mellitus.</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Monitor patient’s serum uric acid and sodium levels, as ordered, because triamterene may reduce uric acid clearance and increase the risk of gout and hyperuricemia. This drug also may worsen preexisting hyponatremia.</w:t>
            </w:r>
          </w:p>
          <w:p w:rsidR="00C27E5B" w:rsidRPr="00310DDC" w:rsidRDefault="00C27E5B" w:rsidP="00310DDC">
            <w:pPr>
              <w:numPr>
                <w:ilvl w:val="0"/>
                <w:numId w:val="2"/>
              </w:numPr>
              <w:spacing w:after="0" w:line="240" w:lineRule="auto"/>
              <w:ind w:hanging="720"/>
              <w:jc w:val="center"/>
              <w:rPr>
                <w:sz w:val="16"/>
              </w:rPr>
            </w:pPr>
            <w:r w:rsidRPr="00310DDC">
              <w:rPr>
                <w:rFonts w:ascii="Arial" w:hAnsi="Arial" w:cs="TimesNewRomanPSMT"/>
                <w:sz w:val="16"/>
                <w:szCs w:val="32"/>
              </w:rPr>
              <w:t>Monitor CBC with differential because drug may increase the risk of megaloblastic anemia in patient with folic acid deficiency.</w:t>
            </w:r>
          </w:p>
        </w:tc>
        <w:tc>
          <w:tcPr>
            <w:tcW w:w="2610" w:type="dxa"/>
          </w:tcPr>
          <w:p w:rsidR="00C27E5B" w:rsidRPr="00310DDC" w:rsidRDefault="00C27E5B" w:rsidP="00DF0DE2">
            <w:pPr>
              <w:spacing w:after="0" w:line="240" w:lineRule="auto"/>
              <w:rPr>
                <w:sz w:val="16"/>
              </w:rPr>
            </w:pPr>
            <w:r w:rsidRPr="00310DDC">
              <w:rPr>
                <w:rFonts w:ascii="Arial" w:hAnsi="Arial"/>
                <w:sz w:val="16"/>
              </w:rPr>
              <w:t>Nursing Interventions</w:t>
            </w:r>
          </w:p>
        </w:tc>
        <w:tc>
          <w:tcPr>
            <w:tcW w:w="3978" w:type="dxa"/>
          </w:tcPr>
          <w:p w:rsidR="00C27E5B" w:rsidRPr="00310DDC" w:rsidRDefault="00C27E5B" w:rsidP="00DF0DE2">
            <w:pPr>
              <w:spacing w:after="0" w:line="240" w:lineRule="auto"/>
              <w:jc w:val="center"/>
              <w:rPr>
                <w:sz w:val="16"/>
              </w:rPr>
            </w:pPr>
          </w:p>
        </w:tc>
      </w:tr>
      <w:tr w:rsidR="00C27E5B" w:rsidRPr="00310DDC">
        <w:tc>
          <w:tcPr>
            <w:tcW w:w="2538" w:type="dxa"/>
          </w:tcPr>
          <w:p w:rsidR="00C27E5B" w:rsidRPr="00310DDC" w:rsidRDefault="00C27E5B" w:rsidP="00DF0DE2">
            <w:pPr>
              <w:spacing w:after="0" w:line="240" w:lineRule="auto"/>
              <w:rPr>
                <w:rFonts w:ascii="Arial" w:hAnsi="Arial"/>
                <w:sz w:val="16"/>
              </w:rPr>
            </w:pPr>
            <w:r w:rsidRPr="00310DDC">
              <w:rPr>
                <w:rFonts w:ascii="Arial" w:hAnsi="Arial"/>
                <w:sz w:val="16"/>
              </w:rPr>
              <w:t>Client Education</w:t>
            </w: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rFonts w:ascii="Arial" w:hAnsi="Arial"/>
                <w:sz w:val="16"/>
              </w:rPr>
            </w:pPr>
          </w:p>
          <w:p w:rsidR="00C27E5B" w:rsidRPr="00310DDC" w:rsidRDefault="00C27E5B" w:rsidP="00DF0DE2">
            <w:pPr>
              <w:spacing w:after="0" w:line="240" w:lineRule="auto"/>
              <w:rPr>
                <w:sz w:val="16"/>
              </w:rPr>
            </w:pPr>
          </w:p>
        </w:tc>
        <w:tc>
          <w:tcPr>
            <w:tcW w:w="4050" w:type="dxa"/>
          </w:tcPr>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Advise patient to take triamterene with food or milk.</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Instruct patient to avoid exposure to excessive heat or sunlight to prevent dehydration and, possibly, photosensitivity.</w:t>
            </w:r>
          </w:p>
          <w:p w:rsidR="00C27E5B" w:rsidRPr="00310DDC" w:rsidRDefault="00C27E5B" w:rsidP="00310DDC">
            <w:pPr>
              <w:widowControl w:val="0"/>
              <w:numPr>
                <w:ilvl w:val="0"/>
                <w:numId w:val="2"/>
              </w:numPr>
              <w:tabs>
                <w:tab w:val="left" w:pos="220"/>
                <w:tab w:val="left" w:pos="720"/>
              </w:tabs>
              <w:autoSpaceDE w:val="0"/>
              <w:autoSpaceDN w:val="0"/>
              <w:adjustRightInd w:val="0"/>
              <w:spacing w:after="0" w:line="240" w:lineRule="auto"/>
              <w:ind w:hanging="720"/>
              <w:rPr>
                <w:rFonts w:ascii="Arial" w:hAnsi="Arial" w:cs="TimesNewRomanPSMT"/>
                <w:sz w:val="16"/>
                <w:szCs w:val="32"/>
              </w:rPr>
            </w:pPr>
            <w:r w:rsidRPr="00310DDC">
              <w:rPr>
                <w:rFonts w:ascii="Arial" w:hAnsi="Arial" w:cs="TimesNewRomanPSMT"/>
                <w:sz w:val="16"/>
                <w:szCs w:val="32"/>
              </w:rPr>
              <w:t>Explain to patient with a history of gout that drug may increase the risk of an attack.</w:t>
            </w:r>
          </w:p>
          <w:p w:rsidR="00C27E5B" w:rsidRPr="00310DDC" w:rsidRDefault="00C27E5B" w:rsidP="00DF0DE2">
            <w:pPr>
              <w:spacing w:after="0" w:line="240" w:lineRule="auto"/>
              <w:jc w:val="center"/>
              <w:rPr>
                <w:sz w:val="16"/>
              </w:rPr>
            </w:pPr>
            <w:r w:rsidRPr="00310DDC">
              <w:rPr>
                <w:rFonts w:ascii="Arial" w:hAnsi="Arial" w:cs="TimesNewRomanPSMT"/>
                <w:sz w:val="16"/>
                <w:szCs w:val="32"/>
              </w:rPr>
              <w:t>Advise patient to notify prescriber about ineffective diuresis and unexplained weight gain during therapy.</w:t>
            </w:r>
          </w:p>
        </w:tc>
        <w:tc>
          <w:tcPr>
            <w:tcW w:w="2610" w:type="dxa"/>
          </w:tcPr>
          <w:p w:rsidR="00C27E5B" w:rsidRPr="00310DDC" w:rsidRDefault="00C27E5B" w:rsidP="00DF0DE2">
            <w:pPr>
              <w:spacing w:after="0" w:line="240" w:lineRule="auto"/>
              <w:rPr>
                <w:sz w:val="16"/>
              </w:rPr>
            </w:pPr>
            <w:r w:rsidRPr="00310DDC">
              <w:rPr>
                <w:rFonts w:ascii="Arial" w:hAnsi="Arial"/>
                <w:sz w:val="16"/>
              </w:rPr>
              <w:t>Client Education</w:t>
            </w:r>
          </w:p>
        </w:tc>
        <w:tc>
          <w:tcPr>
            <w:tcW w:w="3978" w:type="dxa"/>
          </w:tcPr>
          <w:p w:rsidR="00C27E5B" w:rsidRPr="00310DDC" w:rsidRDefault="00C27E5B" w:rsidP="00DF0DE2">
            <w:pPr>
              <w:spacing w:after="0" w:line="240" w:lineRule="auto"/>
              <w:jc w:val="center"/>
              <w:rPr>
                <w:sz w:val="16"/>
              </w:rPr>
            </w:pPr>
          </w:p>
        </w:tc>
      </w:tr>
    </w:tbl>
    <w:p w:rsidR="00C27E5B" w:rsidRPr="00310DDC" w:rsidRDefault="00C27E5B" w:rsidP="001D5476">
      <w:pPr>
        <w:jc w:val="center"/>
        <w:rPr>
          <w:rFonts w:ascii="Arial" w:hAnsi="Arial"/>
          <w:sz w:val="16"/>
        </w:rPr>
      </w:pPr>
    </w:p>
    <w:p w:rsidR="00C27E5B" w:rsidRPr="00310DDC" w:rsidRDefault="00C27E5B" w:rsidP="001D5476">
      <w:pPr>
        <w:jc w:val="center"/>
        <w:rPr>
          <w:rFonts w:ascii="Arial" w:hAnsi="Arial"/>
          <w:sz w:val="16"/>
        </w:rPr>
      </w:pPr>
    </w:p>
    <w:p w:rsidR="00C27E5B" w:rsidRPr="00310DDC" w:rsidRDefault="00C27E5B" w:rsidP="001D5476">
      <w:pPr>
        <w:jc w:val="center"/>
        <w:rPr>
          <w:rFonts w:ascii="Arial" w:hAnsi="Arial"/>
          <w:sz w:val="16"/>
        </w:rPr>
      </w:pPr>
      <w:r w:rsidRPr="00310DDC">
        <w:rPr>
          <w:rFonts w:ascii="Arial" w:hAnsi="Arial"/>
          <w:sz w:val="16"/>
        </w:rPr>
        <w:t>Source: ATI Drug Guide</w:t>
      </w:r>
    </w:p>
    <w:p w:rsidR="00C27E5B" w:rsidRPr="00310DDC" w:rsidRDefault="00C27E5B" w:rsidP="001D5476">
      <w:pPr>
        <w:jc w:val="center"/>
        <w:rPr>
          <w:rFonts w:ascii="Arial" w:hAnsi="Arial"/>
          <w:sz w:val="16"/>
        </w:rPr>
      </w:pPr>
      <w:hyperlink r:id="rId5" w:history="1">
        <w:r w:rsidRPr="00C23A4F">
          <w:rPr>
            <w:rStyle w:val="Hyperlink"/>
            <w:rFonts w:ascii="Arial" w:hAnsi="Arial"/>
            <w:sz w:val="16"/>
          </w:rPr>
          <w:t>www.atitesting.com</w:t>
        </w:r>
      </w:hyperlink>
      <w:r w:rsidRPr="00310DDC">
        <w:rPr>
          <w:rFonts w:ascii="Arial" w:hAnsi="Arial"/>
          <w:sz w:val="16"/>
        </w:rPr>
        <w:t xml:space="preserve"> </w:t>
      </w:r>
    </w:p>
    <w:p w:rsidR="00C27E5B" w:rsidRPr="00310DDC" w:rsidRDefault="00C27E5B" w:rsidP="001D5476">
      <w:pPr>
        <w:jc w:val="center"/>
        <w:rPr>
          <w:rFonts w:ascii="Arial" w:hAnsi="Arial"/>
          <w:sz w:val="16"/>
        </w:rPr>
      </w:pPr>
    </w:p>
    <w:sectPr w:rsidR="00C27E5B" w:rsidRPr="00310DDC" w:rsidSect="001D5476">
      <w:pgSz w:w="15840" w:h="12240" w:orient="landscape"/>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Symbol">
    <w:panose1 w:val="00000000000000000000"/>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DD6C2A6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044312F"/>
    <w:multiLevelType w:val="hybridMultilevel"/>
    <w:tmpl w:val="8284941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FBA47CC"/>
    <w:multiLevelType w:val="hybridMultilevel"/>
    <w:tmpl w:val="55F2B1B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doNotTrackMoves/>
  <w:defaultTabStop w:val="720"/>
  <w:doNotHyphenateCaps/>
  <w:drawingGridHorizontalSpacing w:val="110"/>
  <w:displayHorizont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1D5476"/>
    <w:rsid w:val="00086376"/>
    <w:rsid w:val="001D5476"/>
    <w:rsid w:val="00310DDC"/>
    <w:rsid w:val="00970B4D"/>
    <w:rsid w:val="00C23A4F"/>
    <w:rsid w:val="00C27E5B"/>
    <w:rsid w:val="00DF0DE2"/>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B4D"/>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99"/>
    <w:rsid w:val="001D5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10DD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titesting.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1694</Words>
  <Characters>9660</Characters>
  <Application>Microsoft Macintosh Word</Application>
  <DocSecurity>0</DocSecurity>
  <Lines>0</Lines>
  <Paragraphs>0</Paragraphs>
  <ScaleCrop>false</ScaleCrop>
  <Company>Firelands Regional Medical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&amp; Classification</dc:title>
  <dc:subject/>
  <dc:creator>admin</dc:creator>
  <cp:keywords/>
  <cp:lastModifiedBy>samantha  paris </cp:lastModifiedBy>
  <cp:revision>2</cp:revision>
  <dcterms:created xsi:type="dcterms:W3CDTF">2012-07-30T14:50:00Z</dcterms:created>
  <dcterms:modified xsi:type="dcterms:W3CDTF">2012-07-30T14:50:00Z</dcterms:modified>
</cp:coreProperties>
</file>