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050"/>
        <w:gridCol w:w="2610"/>
        <w:gridCol w:w="3978"/>
      </w:tblGrid>
      <w:tr w:rsidR="001D5476" w:rsidTr="001D5476">
        <w:tc>
          <w:tcPr>
            <w:tcW w:w="2538" w:type="dxa"/>
          </w:tcPr>
          <w:p w:rsidR="001D5476" w:rsidRDefault="001D5476" w:rsidP="001D5476">
            <w:r>
              <w:t>Medication &amp; Classification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>
              <w:t>Amiodorone, pacerone</w:t>
            </w:r>
          </w:p>
          <w:p w:rsidR="008C5A21" w:rsidRDefault="008C5A21" w:rsidP="001D5476">
            <w:pPr>
              <w:jc w:val="center"/>
            </w:pPr>
            <w:r>
              <w:t>Antidysrhythmic</w:t>
            </w:r>
          </w:p>
        </w:tc>
        <w:tc>
          <w:tcPr>
            <w:tcW w:w="2610" w:type="dxa"/>
          </w:tcPr>
          <w:p w:rsidR="001D5476" w:rsidRDefault="001D5476" w:rsidP="001D5476">
            <w:r>
              <w:t>Medication &amp; Classification</w:t>
            </w:r>
          </w:p>
        </w:tc>
        <w:tc>
          <w:tcPr>
            <w:tcW w:w="3978" w:type="dxa"/>
          </w:tcPr>
          <w:p w:rsidR="001D5476" w:rsidRDefault="008C5A21" w:rsidP="001D5476">
            <w:pPr>
              <w:jc w:val="center"/>
            </w:pPr>
            <w:r>
              <w:t>Lisinopril, Zestril</w:t>
            </w:r>
          </w:p>
          <w:p w:rsidR="008C5A21" w:rsidRDefault="008C5A21" w:rsidP="001D5476">
            <w:pPr>
              <w:jc w:val="center"/>
            </w:pPr>
            <w:r>
              <w:t>Antihypertensive vasodilator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Ordered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>
              <w:t>200 mg daily</w:t>
            </w:r>
          </w:p>
        </w:tc>
        <w:tc>
          <w:tcPr>
            <w:tcW w:w="2610" w:type="dxa"/>
          </w:tcPr>
          <w:p w:rsidR="001D5476" w:rsidRDefault="001D5476" w:rsidP="001D5476">
            <w:r>
              <w:t>Ordered Dose</w:t>
            </w:r>
          </w:p>
        </w:tc>
        <w:tc>
          <w:tcPr>
            <w:tcW w:w="3978" w:type="dxa"/>
          </w:tcPr>
          <w:p w:rsidR="001D5476" w:rsidRDefault="008C5A21" w:rsidP="001D5476">
            <w:pPr>
              <w:jc w:val="center"/>
            </w:pPr>
            <w:r>
              <w:t>40 mg daily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Recommended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>
              <w:t>400 mg daily in one or two doses, use lowest dose possible</w:t>
            </w:r>
          </w:p>
        </w:tc>
        <w:tc>
          <w:tcPr>
            <w:tcW w:w="2610" w:type="dxa"/>
          </w:tcPr>
          <w:p w:rsidR="001D5476" w:rsidRDefault="001D5476" w:rsidP="001D5476">
            <w:r>
              <w:t>Recommended Dose</w:t>
            </w:r>
          </w:p>
        </w:tc>
        <w:tc>
          <w:tcPr>
            <w:tcW w:w="3978" w:type="dxa"/>
          </w:tcPr>
          <w:p w:rsidR="001D5476" w:rsidRDefault="008C5A21" w:rsidP="001D5476">
            <w:pPr>
              <w:jc w:val="center"/>
            </w:pPr>
            <w:r>
              <w:t>20-40 mg daily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Food &amp; Medication Interactions</w:t>
            </w:r>
          </w:p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 w:rsidRPr="008C5A21">
              <w:rPr>
                <w:b/>
              </w:rPr>
              <w:t>anticoagulants</w:t>
            </w:r>
            <w:r w:rsidRPr="008C5A21">
              <w:t>: Increased anticoagulant response, which can result in serious bleeding</w:t>
            </w:r>
          </w:p>
          <w:p w:rsidR="008C5A21" w:rsidRDefault="008C5A21" w:rsidP="008C5A21">
            <w:pPr>
              <w:jc w:val="center"/>
            </w:pPr>
            <w:r w:rsidRPr="008C5A21">
              <w:rPr>
                <w:b/>
              </w:rPr>
              <w:t>warfarin</w:t>
            </w:r>
            <w:r>
              <w:t>: Increased PT and risk of bleeding</w:t>
            </w:r>
          </w:p>
          <w:p w:rsidR="008C5A21" w:rsidRDefault="008C5A21" w:rsidP="008C5A21">
            <w:pPr>
              <w:jc w:val="center"/>
            </w:pPr>
            <w:r w:rsidRPr="008C5A21">
              <w:rPr>
                <w:b/>
              </w:rPr>
              <w:t>grapefruit juice</w:t>
            </w:r>
            <w:r>
              <w:t>: Increased serum amiodarone level</w:t>
            </w:r>
          </w:p>
        </w:tc>
        <w:tc>
          <w:tcPr>
            <w:tcW w:w="2610" w:type="dxa"/>
          </w:tcPr>
          <w:p w:rsidR="001D5476" w:rsidRDefault="001D5476" w:rsidP="001D5476">
            <w:r>
              <w:t>Food &amp; Medication Interactions</w:t>
            </w:r>
          </w:p>
        </w:tc>
        <w:tc>
          <w:tcPr>
            <w:tcW w:w="3978" w:type="dxa"/>
          </w:tcPr>
          <w:p w:rsidR="001D5476" w:rsidRDefault="008C5A21" w:rsidP="001D5476">
            <w:pPr>
              <w:jc w:val="center"/>
            </w:pPr>
            <w:r w:rsidRPr="00EF4F41">
              <w:rPr>
                <w:b/>
              </w:rPr>
              <w:t>antihypertensives</w:t>
            </w:r>
            <w:r w:rsidRPr="008C5A21">
              <w:t>: Increased hypotensive effect</w:t>
            </w:r>
          </w:p>
          <w:p w:rsidR="008C5A21" w:rsidRDefault="008C5A21" w:rsidP="001D5476">
            <w:pPr>
              <w:jc w:val="center"/>
            </w:pPr>
            <w:r w:rsidRPr="00EF4F41">
              <w:rPr>
                <w:b/>
              </w:rPr>
              <w:t>NSAIDs</w:t>
            </w:r>
            <w:r w:rsidRPr="008C5A21">
              <w:t>: Possibly reduced antihypertensive effect, reduced renal function in patients with preexisting renal dysfunction</w:t>
            </w:r>
          </w:p>
          <w:p w:rsidR="008C5A21" w:rsidRDefault="008C5A21" w:rsidP="001D5476">
            <w:pPr>
              <w:jc w:val="center"/>
            </w:pPr>
            <w:r w:rsidRPr="00EF4F41">
              <w:rPr>
                <w:b/>
              </w:rPr>
              <w:t>high-potassium diet, potassium-containing salt substitutes</w:t>
            </w:r>
            <w:r w:rsidRPr="008C5A21">
              <w:t>: Increased risk of hyperkalemia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Side Effects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>
              <w:t>Dizziness</w:t>
            </w:r>
          </w:p>
          <w:p w:rsidR="008C5A21" w:rsidRDefault="008C5A21" w:rsidP="001D5476">
            <w:pPr>
              <w:jc w:val="center"/>
            </w:pPr>
            <w:r>
              <w:t>Sleep disturbances</w:t>
            </w:r>
          </w:p>
          <w:p w:rsidR="008C5A21" w:rsidRDefault="008C5A21" w:rsidP="001D5476">
            <w:pPr>
              <w:jc w:val="center"/>
            </w:pPr>
            <w:r>
              <w:t>Bradycardia</w:t>
            </w:r>
          </w:p>
          <w:p w:rsidR="008C5A21" w:rsidRDefault="008C5A21" w:rsidP="001D5476">
            <w:pPr>
              <w:jc w:val="center"/>
            </w:pPr>
            <w:r>
              <w:t>Hypotension</w:t>
            </w:r>
          </w:p>
          <w:p w:rsidR="008C5A21" w:rsidRDefault="008C5A21" w:rsidP="001D5476">
            <w:pPr>
              <w:jc w:val="center"/>
            </w:pPr>
            <w:r>
              <w:t>Constipation</w:t>
            </w:r>
          </w:p>
          <w:p w:rsidR="008C5A21" w:rsidRDefault="008C5A21" w:rsidP="001D5476">
            <w:pPr>
              <w:jc w:val="center"/>
            </w:pPr>
            <w:r>
              <w:t xml:space="preserve">Bruising </w:t>
            </w:r>
          </w:p>
          <w:p w:rsidR="008C5A21" w:rsidRDefault="008C5A21" w:rsidP="001D5476">
            <w:pPr>
              <w:jc w:val="center"/>
            </w:pPr>
            <w:r>
              <w:t>Weakness</w:t>
            </w:r>
          </w:p>
          <w:p w:rsidR="008C5A21" w:rsidRDefault="008C5A21" w:rsidP="008C5A21">
            <w:pPr>
              <w:jc w:val="center"/>
            </w:pPr>
            <w:r>
              <w:t xml:space="preserve">Angioedema </w:t>
            </w:r>
          </w:p>
        </w:tc>
        <w:tc>
          <w:tcPr>
            <w:tcW w:w="2610" w:type="dxa"/>
          </w:tcPr>
          <w:p w:rsidR="001D5476" w:rsidRDefault="001D5476" w:rsidP="001D5476">
            <w:r>
              <w:t>Side Effects</w:t>
            </w:r>
          </w:p>
        </w:tc>
        <w:tc>
          <w:tcPr>
            <w:tcW w:w="3978" w:type="dxa"/>
          </w:tcPr>
          <w:p w:rsidR="001D5476" w:rsidRDefault="008C5A21" w:rsidP="001D5476">
            <w:pPr>
              <w:jc w:val="center"/>
            </w:pPr>
            <w:r>
              <w:t>Dizziness</w:t>
            </w:r>
          </w:p>
          <w:p w:rsidR="008C5A21" w:rsidRDefault="008C5A21" w:rsidP="001D5476">
            <w:pPr>
              <w:jc w:val="center"/>
            </w:pPr>
            <w:r>
              <w:t>Cough</w:t>
            </w:r>
          </w:p>
          <w:p w:rsidR="008C5A21" w:rsidRDefault="008C5A21" w:rsidP="008C5A21">
            <w:pPr>
              <w:jc w:val="center"/>
            </w:pPr>
            <w:r>
              <w:t>Headache</w:t>
            </w:r>
          </w:p>
          <w:p w:rsidR="008C5A21" w:rsidRDefault="008C5A21" w:rsidP="008C5A21">
            <w:pPr>
              <w:jc w:val="center"/>
            </w:pPr>
            <w:r>
              <w:t>Hypotension</w:t>
            </w:r>
          </w:p>
          <w:p w:rsidR="008C5A21" w:rsidRDefault="008C5A21" w:rsidP="008C5A21">
            <w:pPr>
              <w:jc w:val="center"/>
            </w:pPr>
            <w:r>
              <w:t>Chest pain</w:t>
            </w:r>
          </w:p>
          <w:p w:rsidR="008C5A21" w:rsidRDefault="008C5A21" w:rsidP="008C5A21">
            <w:pPr>
              <w:jc w:val="center"/>
            </w:pPr>
            <w:r>
              <w:t>Fatigue</w:t>
            </w:r>
          </w:p>
          <w:p w:rsidR="008C5A21" w:rsidRDefault="008C5A21" w:rsidP="008C5A21">
            <w:pPr>
              <w:jc w:val="center"/>
            </w:pPr>
            <w:r>
              <w:t>Hyperkalemia</w:t>
            </w:r>
          </w:p>
          <w:p w:rsidR="008C5A21" w:rsidRDefault="008C5A21" w:rsidP="008C5A21">
            <w:pPr>
              <w:jc w:val="center"/>
            </w:pPr>
            <w:r>
              <w:t>Diarrhea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pPr>
              <w:jc w:val="center"/>
            </w:pPr>
            <w:r>
              <w:t>Nursing Interventions</w:t>
            </w: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/>
        </w:tc>
        <w:tc>
          <w:tcPr>
            <w:tcW w:w="4050" w:type="dxa"/>
          </w:tcPr>
          <w:p w:rsidR="001D5476" w:rsidRDefault="008C5A21" w:rsidP="001D5476">
            <w:pPr>
              <w:jc w:val="center"/>
            </w:pPr>
            <w:r>
              <w:t xml:space="preserve">Monitor for arrhythmias and heart rate below 60 bpm. </w:t>
            </w:r>
          </w:p>
          <w:p w:rsidR="008C5A21" w:rsidRDefault="008C5A21" w:rsidP="001D5476">
            <w:pPr>
              <w:jc w:val="center"/>
            </w:pPr>
            <w:r>
              <w:t xml:space="preserve">Monitor for above stated side effects. </w:t>
            </w:r>
          </w:p>
        </w:tc>
        <w:tc>
          <w:tcPr>
            <w:tcW w:w="2610" w:type="dxa"/>
          </w:tcPr>
          <w:p w:rsidR="001D5476" w:rsidRDefault="001D5476" w:rsidP="001D5476">
            <w:r>
              <w:t>Nursing Interventions</w:t>
            </w:r>
          </w:p>
        </w:tc>
        <w:tc>
          <w:tcPr>
            <w:tcW w:w="3978" w:type="dxa"/>
          </w:tcPr>
          <w:p w:rsidR="008C5A21" w:rsidRDefault="008C5A21" w:rsidP="008C5A21">
            <w:pPr>
              <w:jc w:val="center"/>
            </w:pPr>
            <w:r>
              <w:t>•Monitor blood pressure often, especially early in treatment. If excessive hypotension develops, expect to withhold drug for several days.</w:t>
            </w:r>
          </w:p>
          <w:p w:rsidR="001D5476" w:rsidRDefault="008C5A21" w:rsidP="008C5A21">
            <w:pPr>
              <w:jc w:val="center"/>
            </w:pPr>
            <w:r>
              <w:t xml:space="preserve"> •WARNING If angioedema affects face, glottis, larynx, limbs, lips, mucous membranes, or tongue, notify prescriber immediately and expect to stop lisinopril and start appropriate therapy</w:t>
            </w:r>
          </w:p>
          <w:p w:rsidR="008C5A21" w:rsidRDefault="008C5A21" w:rsidP="008C5A21">
            <w:pPr>
              <w:jc w:val="center"/>
            </w:pPr>
            <w:r w:rsidRPr="008C5A21">
              <w:t xml:space="preserve">•Notify prescriber if patient has </w:t>
            </w:r>
            <w:r w:rsidRPr="008C5A21">
              <w:lastRenderedPageBreak/>
              <w:t>persistent, nonproductive cough, a common adverse effect of ACE inhibitors such as lisinopril.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lastRenderedPageBreak/>
              <w:t>Client Education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8C5A21" w:rsidRDefault="008C5A21" w:rsidP="008C5A21">
            <w:pPr>
              <w:jc w:val="center"/>
            </w:pPr>
            <w:r>
              <w:t>•Explain that patient will need frequent monitoring and laboratory tests during treatment.</w:t>
            </w:r>
          </w:p>
          <w:p w:rsidR="008C5A21" w:rsidRDefault="008C5A21" w:rsidP="008C5A21">
            <w:pPr>
              <w:jc w:val="center"/>
            </w:pPr>
            <w:r>
              <w:t xml:space="preserve"> •Advise patient to report swollen hands and feet, wheezing, dyspnea, cough, nausea, vomiting, dark urine, fatigue, yellow skin or sclerae, stomach pain, light-headedness, fainting, or a rapid, slow, pounding, or irregular heartbeat.</w:t>
            </w:r>
          </w:p>
          <w:p w:rsidR="001D5476" w:rsidRDefault="008C5A21" w:rsidP="008C5A21">
            <w:pPr>
              <w:jc w:val="center"/>
            </w:pPr>
            <w:r>
              <w:t xml:space="preserve"> •Instruct patient to report abnormal bleeding or bruising</w:t>
            </w:r>
          </w:p>
        </w:tc>
        <w:tc>
          <w:tcPr>
            <w:tcW w:w="2610" w:type="dxa"/>
          </w:tcPr>
          <w:p w:rsidR="001D5476" w:rsidRDefault="001D5476" w:rsidP="001D5476">
            <w:r>
              <w:t>Client Education</w:t>
            </w:r>
          </w:p>
        </w:tc>
        <w:tc>
          <w:tcPr>
            <w:tcW w:w="3978" w:type="dxa"/>
          </w:tcPr>
          <w:p w:rsidR="001D5476" w:rsidRDefault="00F70A86" w:rsidP="001D5476">
            <w:pPr>
              <w:jc w:val="center"/>
            </w:pPr>
            <w:r w:rsidRPr="00F70A86">
              <w:t>•Advise patient to take lisinopril at the same time every day.</w:t>
            </w:r>
          </w:p>
          <w:p w:rsidR="00F70A86" w:rsidRDefault="00F70A86" w:rsidP="00F70A86">
            <w:pPr>
              <w:jc w:val="center"/>
            </w:pPr>
            <w:r>
              <w:t>•Instruct patient to report dizziness, especially during the first few days of therapy.</w:t>
            </w:r>
          </w:p>
          <w:p w:rsidR="00F70A86" w:rsidRDefault="00F70A86" w:rsidP="00F70A86">
            <w:pPr>
              <w:jc w:val="center"/>
            </w:pPr>
            <w:r>
              <w:t xml:space="preserve"> •Inform patient that a persistent, nonproductive cough may develop during lisinopril therapy. Urge her to notify prescriber immediately if cough becomes difficult to tolerate.</w:t>
            </w:r>
          </w:p>
          <w:p w:rsidR="00F70A86" w:rsidRDefault="00F70A86" w:rsidP="00F70A86">
            <w:pPr>
              <w:jc w:val="center"/>
            </w:pPr>
            <w:r w:rsidRPr="00F70A86">
              <w:t>•Advise patient to change position slowly to minimize the effects of orthostatic hypotension.</w:t>
            </w:r>
          </w:p>
        </w:tc>
      </w:tr>
    </w:tbl>
    <w:p w:rsidR="00970B4D" w:rsidRDefault="00970B4D" w:rsidP="001D5476">
      <w:pPr>
        <w:jc w:val="center"/>
      </w:pPr>
      <w:bookmarkStart w:id="0" w:name="_GoBack"/>
      <w:bookmarkEnd w:id="0"/>
    </w:p>
    <w:sectPr w:rsidR="00970B4D" w:rsidSect="001D5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5476"/>
    <w:rsid w:val="001D5476"/>
    <w:rsid w:val="008C5A21"/>
    <w:rsid w:val="00970B4D"/>
    <w:rsid w:val="00C62022"/>
    <w:rsid w:val="00EF4F41"/>
    <w:rsid w:val="00F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4</cp:revision>
  <dcterms:created xsi:type="dcterms:W3CDTF">2012-08-09T00:17:00Z</dcterms:created>
  <dcterms:modified xsi:type="dcterms:W3CDTF">2012-08-09T01:11:00Z</dcterms:modified>
</cp:coreProperties>
</file>