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F6" w:rsidRDefault="00C957F6" w:rsidP="00C364E1">
      <w:r>
        <w:t>Diabetes, Endocrine, and Hypertension</w:t>
      </w:r>
    </w:p>
    <w:p w:rsidR="00C364E1" w:rsidRDefault="00C364E1" w:rsidP="00C364E1">
      <w:r>
        <w:t>Pharmacology Take Home Quiz</w:t>
      </w:r>
    </w:p>
    <w:p w:rsidR="00FE4790" w:rsidRDefault="00C364E1" w:rsidP="00C364E1">
      <w:r>
        <w:t xml:space="preserve">Answers </w:t>
      </w:r>
      <w:r w:rsidR="00A94403">
        <w:t>and Rationales</w:t>
      </w:r>
    </w:p>
    <w:p w:rsidR="00C364E1" w:rsidRDefault="00C364E1" w:rsidP="00C364E1">
      <w:r>
        <w:t>Caitlin Morris</w:t>
      </w:r>
    </w:p>
    <w:p w:rsidR="00C364E1" w:rsidRPr="00C957F6" w:rsidRDefault="00C957F6" w:rsidP="00C364E1">
      <w:pPr>
        <w:pStyle w:val="ListParagraph"/>
        <w:numPr>
          <w:ilvl w:val="0"/>
          <w:numId w:val="1"/>
        </w:numPr>
      </w:pPr>
      <w:r w:rsidRPr="00C957F6">
        <w:rPr>
          <w:highlight w:val="yellow"/>
        </w:rPr>
        <w:t>D is right.</w:t>
      </w:r>
      <w:r>
        <w:t xml:space="preserve">  Aldosterone increases the retention of K+ and carries the risk of Hyperkalemia. </w:t>
      </w:r>
      <w:sdt>
        <w:sdtPr>
          <w:id w:val="16941126"/>
          <w:citation/>
        </w:sdtPr>
        <w:sdtContent>
          <w:fldSimple w:instr=" CITATION Lew11 \l 1033 ">
            <w:r w:rsidR="006854F0">
              <w:rPr>
                <w:noProof/>
              </w:rPr>
              <w:t>(Lewis, Dirksen, Heitkemper, Bucher, &amp; Camera, 2011)</w:t>
            </w:r>
          </w:fldSimple>
        </w:sdtContent>
      </w:sdt>
      <w:r>
        <w:t xml:space="preserve"> 748</w:t>
      </w:r>
    </w:p>
    <w:p w:rsidR="00A21479" w:rsidRDefault="00480B31" w:rsidP="00C364E1">
      <w:pPr>
        <w:pStyle w:val="ListParagraph"/>
        <w:numPr>
          <w:ilvl w:val="0"/>
          <w:numId w:val="1"/>
        </w:numPr>
      </w:pPr>
      <w:r w:rsidRPr="00480B31">
        <w:rPr>
          <w:highlight w:val="yellow"/>
        </w:rPr>
        <w:t>D is the best answer</w:t>
      </w:r>
      <w:r>
        <w:t xml:space="preserve">.  According to page 1260, this drug allows </w:t>
      </w:r>
      <w:r w:rsidR="00C95500">
        <w:t>more</w:t>
      </w:r>
      <w:r>
        <w:t xml:space="preserve"> dilute urine.” It counteracts the anti-diuretic effects and thus encourages a diuretic effect by letting the </w:t>
      </w:r>
      <w:r w:rsidR="00C95500">
        <w:t>kidneys release</w:t>
      </w:r>
      <w:r>
        <w:t xml:space="preserve"> more urine.  </w:t>
      </w:r>
      <w:sdt>
        <w:sdtPr>
          <w:id w:val="1872344"/>
          <w:citation/>
        </w:sdtPr>
        <w:sdtContent>
          <w:fldSimple w:instr=" CITATION Lew11 \l 1033 ">
            <w:r w:rsidR="006854F0">
              <w:rPr>
                <w:noProof/>
              </w:rPr>
              <w:t>(Lewis, Dirksen, Heitkemper, Bucher, &amp; Camera, 2011)</w:t>
            </w:r>
          </w:fldSimple>
        </w:sdtContent>
      </w:sdt>
    </w:p>
    <w:p w:rsidR="00A21479" w:rsidRDefault="00C95500" w:rsidP="00C364E1">
      <w:pPr>
        <w:pStyle w:val="ListParagraph"/>
        <w:numPr>
          <w:ilvl w:val="0"/>
          <w:numId w:val="1"/>
        </w:numPr>
      </w:pPr>
      <w:r w:rsidRPr="00C95500">
        <w:rPr>
          <w:highlight w:val="yellow"/>
        </w:rPr>
        <w:t>A is the best answer</w:t>
      </w:r>
      <w:r>
        <w:t xml:space="preserve">.  A nurse should monitor all a patient for all of these things, but cardiovascular concerns are the priority in elderly patients.  According to page 1271, the “increases oxygen demand may cause angina and cardiac </w:t>
      </w:r>
      <w:proofErr w:type="spellStart"/>
      <w:r>
        <w:t>dysrhythmias</w:t>
      </w:r>
      <w:proofErr w:type="spellEnd"/>
      <w:r>
        <w:t xml:space="preserve">.” This follows the Airway, Breathing, Circulation priorities.  </w:t>
      </w:r>
      <w:sdt>
        <w:sdtPr>
          <w:id w:val="1872351"/>
          <w:citation/>
        </w:sdtPr>
        <w:sdtContent>
          <w:fldSimple w:instr=" CITATION Lew11 \l 1033 ">
            <w:r w:rsidR="006854F0">
              <w:rPr>
                <w:noProof/>
              </w:rPr>
              <w:t>(Lewis, Dirksen, Heitkemper, Bucher, &amp; Camera, 2011)</w:t>
            </w:r>
          </w:fldSimple>
        </w:sdtContent>
      </w:sdt>
      <w:r w:rsidR="00BC5EDD">
        <w:t xml:space="preserve"> 1271</w:t>
      </w:r>
    </w:p>
    <w:p w:rsidR="00A21479" w:rsidRDefault="00BC5EDD" w:rsidP="00C364E1">
      <w:pPr>
        <w:pStyle w:val="ListParagraph"/>
        <w:numPr>
          <w:ilvl w:val="0"/>
          <w:numId w:val="1"/>
        </w:numPr>
      </w:pPr>
      <w:r w:rsidRPr="00BC5EDD">
        <w:rPr>
          <w:highlight w:val="yellow"/>
        </w:rPr>
        <w:t>B is the best answer</w:t>
      </w:r>
      <w:r>
        <w:t>.  This comes from Table 50-11 where it states, “caution the patient, especially is an older adult, to avoid sedatives.  Valium is a sedative.  Hence the nurse should use caution with the medication and verify it with the provider.</w:t>
      </w:r>
      <w:r w:rsidR="00494F45">
        <w:t xml:space="preserve">  </w:t>
      </w:r>
      <w:proofErr w:type="spellStart"/>
      <w:r>
        <w:t>Colace</w:t>
      </w:r>
      <w:proofErr w:type="spellEnd"/>
      <w:r>
        <w:t xml:space="preserve"> would actually be a recommended drug because of constipation related to hypothyroidism.   </w:t>
      </w:r>
      <w:proofErr w:type="spellStart"/>
      <w:r w:rsidR="00494F45">
        <w:t>Ibuprofin</w:t>
      </w:r>
      <w:proofErr w:type="spellEnd"/>
      <w:r w:rsidR="00494F45">
        <w:t xml:space="preserve"> would </w:t>
      </w:r>
      <w:proofErr w:type="spellStart"/>
      <w:proofErr w:type="gramStart"/>
      <w:r w:rsidR="00494F45">
        <w:t>bea</w:t>
      </w:r>
      <w:proofErr w:type="spellEnd"/>
      <w:proofErr w:type="gramEnd"/>
      <w:r w:rsidR="00494F45">
        <w:t xml:space="preserve"> a good medication because it relieves pain without being an anticoagulant.  </w:t>
      </w:r>
      <w:proofErr w:type="spellStart"/>
      <w:r>
        <w:t>Mefoxin</w:t>
      </w:r>
      <w:proofErr w:type="spellEnd"/>
      <w:r>
        <w:t xml:space="preserve"> would not be a concern </w:t>
      </w:r>
      <w:sdt>
        <w:sdtPr>
          <w:id w:val="1872352"/>
          <w:citation/>
        </w:sdtPr>
        <w:sdtContent>
          <w:fldSimple w:instr=" CITATION Lew11 \l 1033 ">
            <w:r w:rsidR="006854F0">
              <w:rPr>
                <w:noProof/>
              </w:rPr>
              <w:t>(Lewis, Dirksen, Heitkemper, Bucher, &amp; Camera, 2011)</w:t>
            </w:r>
          </w:fldSimple>
        </w:sdtContent>
      </w:sdt>
      <w:r>
        <w:t xml:space="preserve"> 1271. </w:t>
      </w:r>
    </w:p>
    <w:p w:rsidR="00A21479" w:rsidRDefault="00A21479" w:rsidP="00C364E1">
      <w:pPr>
        <w:pStyle w:val="ListParagraph"/>
        <w:numPr>
          <w:ilvl w:val="0"/>
          <w:numId w:val="1"/>
        </w:numPr>
      </w:pPr>
      <w:r w:rsidRPr="00063DA6">
        <w:rPr>
          <w:highlight w:val="yellow"/>
        </w:rPr>
        <w:t>A</w:t>
      </w:r>
      <w:r w:rsidR="00184644" w:rsidRPr="00063DA6">
        <w:rPr>
          <w:highlight w:val="yellow"/>
        </w:rPr>
        <w:t xml:space="preserve"> is the best answer</w:t>
      </w:r>
      <w:r w:rsidR="00184644">
        <w:t xml:space="preserve">.  Increases </w:t>
      </w:r>
      <w:proofErr w:type="spellStart"/>
      <w:r w:rsidR="00184644">
        <w:t>Thryoxine</w:t>
      </w:r>
      <w:proofErr w:type="spellEnd"/>
      <w:r w:rsidR="00184644">
        <w:t xml:space="preserve"> levels could indicate that the patient is being overmedicated and could result in symptoms of hyperthyroidism or thyrotoxicosis (1263).  The blood pressure is within acceptable</w:t>
      </w:r>
      <w:r w:rsidR="00063DA6">
        <w:t xml:space="preserve"> limits.  High blood pressure would be a grea</w:t>
      </w:r>
      <w:r w:rsidR="00FD7CCB">
        <w:t>t</w:t>
      </w:r>
      <w:r w:rsidR="00063DA6">
        <w:t xml:space="preserve">er concern for the patient on </w:t>
      </w:r>
      <w:proofErr w:type="spellStart"/>
      <w:r w:rsidR="00063DA6">
        <w:t>Synth</w:t>
      </w:r>
      <w:r w:rsidR="00FD7CCB">
        <w:t>y</w:t>
      </w:r>
      <w:r w:rsidR="00063DA6">
        <w:t>roid</w:t>
      </w:r>
      <w:proofErr w:type="spellEnd"/>
      <w:r w:rsidR="00184644">
        <w:t xml:space="preserve">.  Distant heart sounds are an expected finding in </w:t>
      </w:r>
      <w:proofErr w:type="spellStart"/>
      <w:r w:rsidR="00184644">
        <w:t>hypothryroidism</w:t>
      </w:r>
      <w:proofErr w:type="spellEnd"/>
      <w:r w:rsidR="00184644">
        <w:t xml:space="preserve"> (1264). </w:t>
      </w:r>
      <w:r w:rsidR="00063DA6">
        <w:t xml:space="preserve"> Elevated TSH can be an expected finding in hypothyroidism if the disease is due to primary hypothyroidism. </w:t>
      </w:r>
      <w:sdt>
        <w:sdtPr>
          <w:id w:val="1872353"/>
          <w:citation/>
        </w:sdtPr>
        <w:sdtContent>
          <w:fldSimple w:instr=" CITATION Lew11 \l 1033 ">
            <w:r w:rsidR="006854F0">
              <w:rPr>
                <w:noProof/>
              </w:rPr>
              <w:t>(Lewis, Dirksen, Heitkemper, Bucher, &amp; Camera, 2011)</w:t>
            </w:r>
          </w:fldSimple>
        </w:sdtContent>
      </w:sdt>
    </w:p>
    <w:p w:rsidR="00A21479" w:rsidRDefault="00063DA6" w:rsidP="00C364E1">
      <w:pPr>
        <w:pStyle w:val="ListParagraph"/>
        <w:numPr>
          <w:ilvl w:val="0"/>
          <w:numId w:val="1"/>
        </w:numPr>
      </w:pPr>
      <w:r>
        <w:t xml:space="preserve"> </w:t>
      </w:r>
      <w:r w:rsidR="00FD7CCB" w:rsidRPr="00FD7CCB">
        <w:rPr>
          <w:highlight w:val="yellow"/>
        </w:rPr>
        <w:t>D is the best answer</w:t>
      </w:r>
      <w:r w:rsidR="00FD7CCB">
        <w:t xml:space="preserve">.  </w:t>
      </w:r>
      <w:r>
        <w:t xml:space="preserve">PTU and </w:t>
      </w:r>
      <w:proofErr w:type="spellStart"/>
      <w:r>
        <w:t>Tapazole</w:t>
      </w:r>
      <w:proofErr w:type="spellEnd"/>
      <w:r>
        <w:t xml:space="preserve"> have a delayed improvement in hyperthyroidism.  Iodine is used for the “treatment of thyrotoxic crisis</w:t>
      </w:r>
      <w:r w:rsidR="00FD7CCB">
        <w:t>.”</w:t>
      </w:r>
      <w:r>
        <w:t xml:space="preserve">(1266) </w:t>
      </w:r>
      <w:r w:rsidR="00FD7CCB">
        <w:t xml:space="preserve"> </w:t>
      </w:r>
      <w:proofErr w:type="spellStart"/>
      <w:r>
        <w:t>Propranol</w:t>
      </w:r>
      <w:proofErr w:type="spellEnd"/>
      <w:r>
        <w:t xml:space="preserve"> gives only symptomatic relief in a thyroid storm.  Thus Iodine is the best medication in a thyroid storm.  On page 1265, the book says </w:t>
      </w:r>
      <w:r w:rsidR="00FD7CCB">
        <w:t>“treatment</w:t>
      </w:r>
      <w:r>
        <w:t xml:space="preserve"> is aimed at reducing circulating </w:t>
      </w:r>
      <w:r w:rsidR="00FD7CCB">
        <w:t>thyroid</w:t>
      </w:r>
      <w:r>
        <w:t xml:space="preserve"> hormone levels and the clinical manifestations of this disorder.” From this statement, it appears the priority should be given to redu</w:t>
      </w:r>
      <w:r w:rsidR="00FD7CCB">
        <w:t>ci</w:t>
      </w:r>
      <w:r>
        <w:t>ng the</w:t>
      </w:r>
      <w:r w:rsidR="00D97F44">
        <w:t xml:space="preserve"> T</w:t>
      </w:r>
      <w:r>
        <w:t xml:space="preserve"> 3 and 4 levels and then to </w:t>
      </w:r>
      <w:r w:rsidR="00FD7CCB">
        <w:t>relieving</w:t>
      </w:r>
      <w:r>
        <w:t xml:space="preserve"> the patient’s symptoms.   </w:t>
      </w:r>
      <w:r w:rsidR="00FD7CCB">
        <w:t xml:space="preserve">1264-1267 The ATI pharmacology book on page 508 also says </w:t>
      </w:r>
      <w:proofErr w:type="spellStart"/>
      <w:r w:rsidR="00FD7CCB">
        <w:t>Lugol’s</w:t>
      </w:r>
      <w:proofErr w:type="spellEnd"/>
      <w:r w:rsidR="00FD7CCB">
        <w:t xml:space="preserve"> solution is used for thyroid storm.  </w:t>
      </w:r>
      <w:sdt>
        <w:sdtPr>
          <w:id w:val="1027582"/>
          <w:citation/>
        </w:sdtPr>
        <w:sdtContent>
          <w:fldSimple w:instr=" CITATION ATI \l 1033 ">
            <w:r w:rsidR="006854F0">
              <w:rPr>
                <w:noProof/>
              </w:rPr>
              <w:t>(ATI)</w:t>
            </w:r>
          </w:fldSimple>
        </w:sdtContent>
      </w:sdt>
    </w:p>
    <w:p w:rsidR="00A21479" w:rsidRDefault="00CF72BB" w:rsidP="00CF72BB">
      <w:pPr>
        <w:pStyle w:val="ListParagraph"/>
        <w:numPr>
          <w:ilvl w:val="0"/>
          <w:numId w:val="1"/>
        </w:numPr>
      </w:pPr>
      <w:r w:rsidRPr="00CF72BB">
        <w:rPr>
          <w:highlight w:val="yellow"/>
        </w:rPr>
        <w:t>C is the best answer</w:t>
      </w:r>
      <w:r>
        <w:t xml:space="preserve">.  </w:t>
      </w:r>
      <w:proofErr w:type="spellStart"/>
      <w:r w:rsidR="004134C1">
        <w:t>Labetalol</w:t>
      </w:r>
      <w:proofErr w:type="spellEnd"/>
      <w:r w:rsidR="004134C1">
        <w:t xml:space="preserve"> (</w:t>
      </w:r>
      <w:proofErr w:type="spellStart"/>
      <w:r w:rsidR="004134C1">
        <w:t>Normodyne</w:t>
      </w:r>
      <w:proofErr w:type="spellEnd"/>
      <w:r w:rsidR="004134C1">
        <w:t>)</w:t>
      </w:r>
      <w:r>
        <w:t xml:space="preserve"> is a Beta </w:t>
      </w:r>
      <w:proofErr w:type="spellStart"/>
      <w:r>
        <w:t>Adrenergive</w:t>
      </w:r>
      <w:proofErr w:type="spellEnd"/>
      <w:r>
        <w:t xml:space="preserve"> Blocker. Orthostatic hypotension is a major risk for patients on anti-</w:t>
      </w:r>
      <w:proofErr w:type="spellStart"/>
      <w:r>
        <w:t>hypertensives</w:t>
      </w:r>
      <w:proofErr w:type="spellEnd"/>
      <w:r>
        <w:t xml:space="preserve">.  While dry mouth can also occur, the higher priority is to assess for the orthostatic because of the safety risk it poses. </w:t>
      </w:r>
      <w:sdt>
        <w:sdtPr>
          <w:id w:val="1872354"/>
          <w:citation/>
        </w:sdtPr>
        <w:sdtContent>
          <w:fldSimple w:instr=" CITATION Lew11 \l 1033 ">
            <w:r w:rsidR="006854F0">
              <w:rPr>
                <w:noProof/>
              </w:rPr>
              <w:t>(Lewis, Dirksen, Heitkemper, Bucher, &amp; Camera, 2011)</w:t>
            </w:r>
          </w:fldSimple>
        </w:sdtContent>
      </w:sdt>
      <w:r>
        <w:t xml:space="preserve"> 752. </w:t>
      </w:r>
    </w:p>
    <w:p w:rsidR="00A21479" w:rsidRDefault="000F20DC" w:rsidP="000F20DC">
      <w:pPr>
        <w:pStyle w:val="ListParagraph"/>
        <w:numPr>
          <w:ilvl w:val="0"/>
          <w:numId w:val="1"/>
        </w:numPr>
      </w:pPr>
      <w:r w:rsidRPr="000F20DC">
        <w:rPr>
          <w:highlight w:val="yellow"/>
        </w:rPr>
        <w:t>D is the right answer</w:t>
      </w:r>
      <w:r>
        <w:t xml:space="preserve">.  </w:t>
      </w:r>
      <w:r w:rsidR="00CF72BB">
        <w:t xml:space="preserve"> </w:t>
      </w:r>
      <w:r>
        <w:t>You</w:t>
      </w:r>
      <w:r w:rsidR="00CF72BB">
        <w:t xml:space="preserve"> wouldn’t want to encourage high potassium foods because Hyperkalemia is a potential side effect.  </w:t>
      </w:r>
      <w:proofErr w:type="spellStart"/>
      <w:r w:rsidR="00CF72BB">
        <w:t>Dutietics</w:t>
      </w:r>
      <w:proofErr w:type="spellEnd"/>
      <w:r w:rsidR="00CF72BB">
        <w:t xml:space="preserve"> cause dry mouth not ACE medications.  </w:t>
      </w:r>
      <w:r>
        <w:t xml:space="preserve"> </w:t>
      </w:r>
      <w:r>
        <w:lastRenderedPageBreak/>
        <w:t xml:space="preserve">Patients do not necessarily need to take their BP every day, but they do need to take readings regularly in order to tell the provider their BP trends.  One suggestion might be to take the BP in the morning and evening.  However, it is essential to make sure that the patient changes position slowly because orthostatic hypotension is a serious side effect.   </w:t>
      </w:r>
      <w:sdt>
        <w:sdtPr>
          <w:id w:val="1872355"/>
          <w:citation/>
        </w:sdtPr>
        <w:sdtContent>
          <w:fldSimple w:instr=" CITATION Lew11 \l 1033 ">
            <w:r w:rsidR="006854F0">
              <w:rPr>
                <w:noProof/>
              </w:rPr>
              <w:t>(Lewis, Dirksen, Heitkemper, Bucher, &amp; Camera, 2011)</w:t>
            </w:r>
          </w:fldSimple>
        </w:sdtContent>
      </w:sdt>
      <w:r>
        <w:t xml:space="preserve"> 755</w:t>
      </w:r>
    </w:p>
    <w:p w:rsidR="000F20DC" w:rsidRDefault="000F20DC" w:rsidP="000F20DC">
      <w:pPr>
        <w:pStyle w:val="ListParagraph"/>
        <w:numPr>
          <w:ilvl w:val="0"/>
          <w:numId w:val="1"/>
        </w:numPr>
      </w:pPr>
      <w:r w:rsidRPr="001B1A9F">
        <w:rPr>
          <w:highlight w:val="yellow"/>
        </w:rPr>
        <w:t>A is the right answer</w:t>
      </w:r>
      <w:r>
        <w:t xml:space="preserve">.  </w:t>
      </w:r>
      <w:proofErr w:type="spellStart"/>
      <w:r>
        <w:t>Bronchospams</w:t>
      </w:r>
      <w:proofErr w:type="spellEnd"/>
      <w:r>
        <w:t xml:space="preserve"> associated with the medication could make asthma worse.  Also Albuterol given in association with asthma could counter act the </w:t>
      </w:r>
      <w:r w:rsidR="001B1A9F">
        <w:t xml:space="preserve">medication </w:t>
      </w:r>
      <w:sdt>
        <w:sdtPr>
          <w:id w:val="1872356"/>
          <w:citation/>
        </w:sdtPr>
        <w:sdtContent>
          <w:fldSimple w:instr=" CITATION Lew11 \l 1033 ">
            <w:r w:rsidR="006854F0">
              <w:rPr>
                <w:noProof/>
              </w:rPr>
              <w:t>(Lewis, Dirksen, Heitkemper, Bucher, &amp; Camera, 2011)</w:t>
            </w:r>
          </w:fldSimple>
        </w:sdtContent>
      </w:sdt>
      <w:r w:rsidR="001B1A9F">
        <w:t xml:space="preserve"> 749-750. </w:t>
      </w:r>
    </w:p>
    <w:p w:rsidR="00A21479" w:rsidRDefault="001B1A9F" w:rsidP="00C364E1">
      <w:pPr>
        <w:pStyle w:val="ListParagraph"/>
        <w:numPr>
          <w:ilvl w:val="0"/>
          <w:numId w:val="1"/>
        </w:numPr>
      </w:pPr>
      <w:r>
        <w:t xml:space="preserve"> </w:t>
      </w:r>
      <w:r w:rsidRPr="001B1A9F">
        <w:rPr>
          <w:highlight w:val="yellow"/>
        </w:rPr>
        <w:t>D is the right answer</w:t>
      </w:r>
      <w:r>
        <w:t xml:space="preserve">.  Swelling around the mouth can indicate anaphylaxis and should never be ignored.  Aspirin can interfere with the effectiveness.  A cough is a side effect f the medication.  Hyperkalemia is a side effect of the medication so the doctor might want to check the level periodically. </w:t>
      </w:r>
      <w:sdt>
        <w:sdtPr>
          <w:id w:val="1027581"/>
          <w:citation/>
        </w:sdtPr>
        <w:sdtContent>
          <w:fldSimple w:instr=" CITATION Lew11 \l 1033 ">
            <w:r w:rsidR="006854F0">
              <w:rPr>
                <w:noProof/>
              </w:rPr>
              <w:t>(Lewis, Dirksen, Heitkemper, Bucher, &amp; Camera, 2011)</w:t>
            </w:r>
          </w:fldSimple>
        </w:sdtContent>
      </w:sdt>
    </w:p>
    <w:p w:rsidR="00A21479" w:rsidRDefault="00B628AC" w:rsidP="00C364E1">
      <w:pPr>
        <w:pStyle w:val="ListParagraph"/>
        <w:numPr>
          <w:ilvl w:val="0"/>
          <w:numId w:val="1"/>
        </w:numPr>
      </w:pPr>
      <w:r w:rsidRPr="00516B31">
        <w:rPr>
          <w:highlight w:val="yellow"/>
        </w:rPr>
        <w:t>B is the right answer.</w:t>
      </w:r>
      <w:r>
        <w:t xml:space="preserve">  The patient’s BP is elevated but not a matter of immediate concern.  The effectiveness of </w:t>
      </w:r>
      <w:proofErr w:type="spellStart"/>
      <w:r>
        <w:t>antihypertensives</w:t>
      </w:r>
      <w:proofErr w:type="spellEnd"/>
      <w:r>
        <w:t xml:space="preserve"> takes times.   Wheezes are associated with ACE inhibitors not beta blockers.  </w:t>
      </w:r>
      <w:r w:rsidR="00516B31">
        <w:t xml:space="preserve">On page 258 of the ATI Pharmacology book, it says to hold </w:t>
      </w:r>
      <w:proofErr w:type="spellStart"/>
      <w:r w:rsidR="00516B31">
        <w:t>inderol</w:t>
      </w:r>
      <w:proofErr w:type="spellEnd"/>
      <w:r w:rsidR="00516B31">
        <w:t xml:space="preserve"> if the heart rate is below 60 per min.  </w:t>
      </w:r>
      <w:sdt>
        <w:sdtPr>
          <w:id w:val="1027580"/>
          <w:citation/>
        </w:sdtPr>
        <w:sdtContent>
          <w:fldSimple w:instr=" CITATION ATI \l 1033 ">
            <w:r w:rsidR="006854F0">
              <w:rPr>
                <w:noProof/>
              </w:rPr>
              <w:t>(ATI)</w:t>
            </w:r>
          </w:fldSimple>
        </w:sdtContent>
      </w:sdt>
    </w:p>
    <w:p w:rsidR="00A21479" w:rsidRDefault="00516B31" w:rsidP="00C364E1">
      <w:pPr>
        <w:pStyle w:val="ListParagraph"/>
        <w:numPr>
          <w:ilvl w:val="0"/>
          <w:numId w:val="1"/>
        </w:numPr>
      </w:pPr>
      <w:r w:rsidRPr="00E0156B">
        <w:rPr>
          <w:highlight w:val="yellow"/>
        </w:rPr>
        <w:t>C is the right answer</w:t>
      </w:r>
      <w:r>
        <w:t xml:space="preserve">.  The patient’s BP indicated that he is a hypertensive urgency or emergency.  The most frequent cause of these events is noncompliance with prescribed medications. </w:t>
      </w:r>
      <w:sdt>
        <w:sdtPr>
          <w:id w:val="1027583"/>
          <w:citation/>
        </w:sdtPr>
        <w:sdtContent>
          <w:fldSimple w:instr=" CITATION Lew11 \l 1033 ">
            <w:r w:rsidR="006854F0">
              <w:rPr>
                <w:noProof/>
              </w:rPr>
              <w:t>(Lewis, Dirksen, Heitkemper, Bucher, &amp; Camera, 2011)</w:t>
            </w:r>
          </w:fldSimple>
        </w:sdtContent>
      </w:sdt>
      <w:r>
        <w:t>757</w:t>
      </w:r>
    </w:p>
    <w:p w:rsidR="00A21479" w:rsidRDefault="00E0156B" w:rsidP="00C364E1">
      <w:pPr>
        <w:pStyle w:val="ListParagraph"/>
        <w:numPr>
          <w:ilvl w:val="0"/>
          <w:numId w:val="1"/>
        </w:numPr>
      </w:pPr>
      <w:r w:rsidRPr="00E0156B">
        <w:rPr>
          <w:highlight w:val="yellow"/>
        </w:rPr>
        <w:t>D is the best answer</w:t>
      </w:r>
      <w:r>
        <w:t xml:space="preserve">.  </w:t>
      </w:r>
      <w:r w:rsidR="00367B5D">
        <w:t>Life style changes should have been attempted before using the medication to treat HTN.  2 weeks is too soon after starting the medication to consider administering an additional medication.</w:t>
      </w:r>
      <w:r>
        <w:t xml:space="preserve">  D is the only answer that assesses the patient in an effort to understand why the medication has not evidenced full effect.  </w:t>
      </w:r>
    </w:p>
    <w:p w:rsidR="00A21479" w:rsidRDefault="00E0156B" w:rsidP="00C364E1">
      <w:pPr>
        <w:pStyle w:val="ListParagraph"/>
        <w:numPr>
          <w:ilvl w:val="0"/>
          <w:numId w:val="1"/>
        </w:numPr>
      </w:pPr>
      <w:r w:rsidRPr="00E0156B">
        <w:rPr>
          <w:highlight w:val="yellow"/>
        </w:rPr>
        <w:t>C is the right answer</w:t>
      </w:r>
      <w:r>
        <w:t xml:space="preserve">.  Since Hyperkalemia is a possible side effect of ACE inhibitors, it would be unwise to increase the amount of potassium taken in the diet.   </w:t>
      </w:r>
    </w:p>
    <w:p w:rsidR="00A21479" w:rsidRDefault="00E47187" w:rsidP="00A21479">
      <w:pPr>
        <w:pStyle w:val="ListParagraph"/>
        <w:numPr>
          <w:ilvl w:val="0"/>
          <w:numId w:val="1"/>
        </w:numPr>
      </w:pPr>
      <w:r w:rsidRPr="00A94403">
        <w:rPr>
          <w:highlight w:val="yellow"/>
        </w:rPr>
        <w:t>The right answer is A</w:t>
      </w:r>
      <w:r>
        <w:t xml:space="preserve">.  A is the incorrect statement because we should rotate injection sights within the same body part (such as moving around the abdomen) in order to keep absorption consistent.  Insulin unit syringes are available as 0.5mL which can be used to administer up to 50 units of insulin.  We should draw up the regular insulin after injecting air into the NPH bottle.  We only need to aspirate for blood in an IM injection.  </w:t>
      </w:r>
      <w:r w:rsidR="00A21479">
        <w:t xml:space="preserve">NPH is </w:t>
      </w:r>
      <w:r>
        <w:t>intermediate</w:t>
      </w:r>
      <w:r w:rsidR="00A21479">
        <w:t xml:space="preserve"> acting insulin with an onset of 2-4 hours, a peak of 4-10 hours, and </w:t>
      </w:r>
      <w:r>
        <w:t>duration</w:t>
      </w:r>
      <w:r w:rsidR="00A21479">
        <w:t xml:space="preserve"> of 10-16 hours.  </w:t>
      </w:r>
      <w:r>
        <w:t xml:space="preserve">Regular insulin comes on within 0.5 to 1 hour, peaks after 2-3 hours, and lasts 3-6 hours.  </w:t>
      </w:r>
      <w:sdt>
        <w:sdtPr>
          <w:id w:val="3140283"/>
          <w:citation/>
        </w:sdtPr>
        <w:sdtContent>
          <w:fldSimple w:instr=" CITATION Lew11 \l 1033  ">
            <w:r w:rsidR="006854F0">
              <w:rPr>
                <w:noProof/>
              </w:rPr>
              <w:t>(Lewis, Dirksen, Heitkemper, Bucher, &amp; Camera, 2011)</w:t>
            </w:r>
          </w:fldSimple>
        </w:sdtContent>
      </w:sdt>
    </w:p>
    <w:p w:rsidR="00A21479" w:rsidRDefault="00E47187" w:rsidP="00C364E1">
      <w:pPr>
        <w:pStyle w:val="ListParagraph"/>
        <w:numPr>
          <w:ilvl w:val="0"/>
          <w:numId w:val="1"/>
        </w:numPr>
      </w:pPr>
      <w:r>
        <w:t xml:space="preserve"> </w:t>
      </w:r>
      <w:r w:rsidRPr="00A94403">
        <w:rPr>
          <w:highlight w:val="yellow"/>
        </w:rPr>
        <w:t>A is the right answer</w:t>
      </w:r>
      <w:r>
        <w:t xml:space="preserve">.  The patient should not inject insulin into the upper </w:t>
      </w:r>
      <w:r w:rsidR="006426E2">
        <w:t>abdominal</w:t>
      </w:r>
      <w:r>
        <w:t xml:space="preserve"> area because th</w:t>
      </w:r>
      <w:r w:rsidR="006426E2">
        <w:t xml:space="preserve">e </w:t>
      </w:r>
      <w:r>
        <w:t xml:space="preserve">location does not have much subcutaneous fat.  Without the subcutaneous fat, the SubQ absorption would not work as intended.  </w:t>
      </w:r>
      <w:proofErr w:type="spellStart"/>
      <w:r>
        <w:t>Novolog</w:t>
      </w:r>
      <w:proofErr w:type="spellEnd"/>
      <w:r>
        <w:t xml:space="preserve"> insulin is </w:t>
      </w:r>
      <w:r w:rsidR="006426E2">
        <w:t>rapid</w:t>
      </w:r>
      <w:r>
        <w:t xml:space="preserve"> acting insulin which has an onset of 15 min, a peak of 60-90 </w:t>
      </w:r>
      <w:proofErr w:type="spellStart"/>
      <w:r>
        <w:t>mins</w:t>
      </w:r>
      <w:proofErr w:type="spellEnd"/>
      <w:r>
        <w:t xml:space="preserve">, and lasts 3-4 hours.  </w:t>
      </w:r>
      <w:r w:rsidR="006426E2">
        <w:t xml:space="preserve"> Skin does not need to be cleaned with soap and water.  Insulin should never be frozen.  When injecting with a pen </w:t>
      </w:r>
      <w:proofErr w:type="spellStart"/>
      <w:r w:rsidR="006426E2">
        <w:t>Aspart</w:t>
      </w:r>
      <w:proofErr w:type="spellEnd"/>
      <w:r w:rsidR="006426E2">
        <w:t>, the syringe should be held into the skin for at least 10 seconds to ensure delivery of the prescribed dose.  According to table 49-5, normal insulin syringes should be held inside for 5 seconds</w:t>
      </w:r>
      <w:sdt>
        <w:sdtPr>
          <w:id w:val="3140284"/>
          <w:citation/>
        </w:sdtPr>
        <w:sdtContent>
          <w:fldSimple w:instr=" CITATION Lew11 \l 1033 ">
            <w:r w:rsidR="006854F0">
              <w:rPr>
                <w:noProof/>
              </w:rPr>
              <w:t xml:space="preserve"> (Lewis, Dirksen, Heitkemper, Bucher, &amp; Camera, 2011)</w:t>
            </w:r>
          </w:fldSimple>
        </w:sdtContent>
      </w:sdt>
      <w:r w:rsidR="006426E2">
        <w:t xml:space="preserve">.   </w:t>
      </w:r>
    </w:p>
    <w:p w:rsidR="00A21479" w:rsidRDefault="00A94403" w:rsidP="00C364E1">
      <w:pPr>
        <w:pStyle w:val="ListParagraph"/>
        <w:numPr>
          <w:ilvl w:val="0"/>
          <w:numId w:val="1"/>
        </w:numPr>
      </w:pPr>
      <w:r w:rsidRPr="00A94403">
        <w:rPr>
          <w:highlight w:val="yellow"/>
        </w:rPr>
        <w:lastRenderedPageBreak/>
        <w:t>A is the right answer</w:t>
      </w:r>
      <w:r>
        <w:t xml:space="preserve">.  </w:t>
      </w:r>
      <w:proofErr w:type="spellStart"/>
      <w:r>
        <w:t>Novolog</w:t>
      </w:r>
      <w:proofErr w:type="spellEnd"/>
      <w:r>
        <w:t xml:space="preserve"> insulin is rapid acting insulin which has an onset of 15 min, a peak of 60-90 </w:t>
      </w:r>
      <w:proofErr w:type="spellStart"/>
      <w:r>
        <w:t>mins</w:t>
      </w:r>
      <w:proofErr w:type="spellEnd"/>
      <w:r>
        <w:t xml:space="preserve">, and lasts 3-4 hours.   0900 is the highest risk for hypoglycemia because it </w:t>
      </w:r>
      <w:proofErr w:type="gramStart"/>
      <w:r>
        <w:t>is  60</w:t>
      </w:r>
      <w:proofErr w:type="gramEnd"/>
      <w:r>
        <w:t xml:space="preserve"> </w:t>
      </w:r>
      <w:proofErr w:type="spellStart"/>
      <w:r>
        <w:t>mins</w:t>
      </w:r>
      <w:proofErr w:type="spellEnd"/>
      <w:r>
        <w:t xml:space="preserve"> after the administration time.  </w:t>
      </w:r>
    </w:p>
    <w:p w:rsidR="00A21479" w:rsidRDefault="00A94403" w:rsidP="00C364E1">
      <w:pPr>
        <w:pStyle w:val="ListParagraph"/>
        <w:numPr>
          <w:ilvl w:val="0"/>
          <w:numId w:val="1"/>
        </w:numPr>
      </w:pPr>
      <w:r>
        <w:t xml:space="preserve"> </w:t>
      </w:r>
      <w:r w:rsidRPr="00A94403">
        <w:rPr>
          <w:highlight w:val="yellow"/>
        </w:rPr>
        <w:t>B was the right answer.</w:t>
      </w:r>
      <w:r>
        <w:t xml:space="preserve">  </w:t>
      </w:r>
      <w:proofErr w:type="spellStart"/>
      <w:r>
        <w:t>Lantus</w:t>
      </w:r>
      <w:proofErr w:type="spellEnd"/>
      <w:r>
        <w:t xml:space="preserve"> and </w:t>
      </w:r>
      <w:proofErr w:type="spellStart"/>
      <w:r>
        <w:t>Levemir</w:t>
      </w:r>
      <w:proofErr w:type="spellEnd"/>
      <w:r>
        <w:t xml:space="preserve"> are both long term insulin and are not given for meal coverage.  </w:t>
      </w:r>
      <w:proofErr w:type="spellStart"/>
      <w:r>
        <w:t>Humulin</w:t>
      </w:r>
      <w:proofErr w:type="spellEnd"/>
      <w:r>
        <w:t xml:space="preserve"> N is an intermediate drug and is not used for mealtime coverage.  Only </w:t>
      </w:r>
      <w:proofErr w:type="spellStart"/>
      <w:r>
        <w:t>Lispro</w:t>
      </w:r>
      <w:proofErr w:type="spellEnd"/>
      <w:r>
        <w:t xml:space="preserve"> is a short acting insulin and can be used for meal time coverage </w:t>
      </w:r>
      <w:sdt>
        <w:sdtPr>
          <w:id w:val="11938126"/>
          <w:citation/>
        </w:sdtPr>
        <w:sdtContent>
          <w:fldSimple w:instr=" CITATION Lew11 \l 1033 ">
            <w:r w:rsidR="006854F0">
              <w:rPr>
                <w:noProof/>
              </w:rPr>
              <w:t>(Lewis, Dirksen, Heitkemper, Bucher, &amp; Camera, 2011)</w:t>
            </w:r>
          </w:fldSimple>
        </w:sdtContent>
      </w:sdt>
    </w:p>
    <w:p w:rsidR="00A21479" w:rsidRDefault="00A94403" w:rsidP="00C364E1">
      <w:pPr>
        <w:pStyle w:val="ListParagraph"/>
        <w:numPr>
          <w:ilvl w:val="0"/>
          <w:numId w:val="1"/>
        </w:numPr>
      </w:pPr>
      <w:r w:rsidRPr="004C5645">
        <w:rPr>
          <w:highlight w:val="yellow"/>
        </w:rPr>
        <w:t>B is the right answer</w:t>
      </w:r>
      <w:r>
        <w:t xml:space="preserve">.  It stimulates insulin production and release from the pancreas. </w:t>
      </w:r>
      <w:sdt>
        <w:sdtPr>
          <w:id w:val="11938127"/>
          <w:citation/>
        </w:sdtPr>
        <w:sdtContent>
          <w:fldSimple w:instr=" CITATION Lew11 \l 1033 ">
            <w:r w:rsidR="006854F0">
              <w:rPr>
                <w:noProof/>
              </w:rPr>
              <w:t>(Lewis, Dirksen, Heitkemper, Bucher, &amp; Camera, 2011)</w:t>
            </w:r>
          </w:fldSimple>
        </w:sdtContent>
      </w:sdt>
      <w:r>
        <w:t xml:space="preserve"> 1229. </w:t>
      </w:r>
    </w:p>
    <w:p w:rsidR="00A21479" w:rsidRDefault="00A94403" w:rsidP="00C364E1">
      <w:pPr>
        <w:pStyle w:val="ListParagraph"/>
        <w:numPr>
          <w:ilvl w:val="0"/>
          <w:numId w:val="1"/>
        </w:numPr>
      </w:pPr>
      <w:r w:rsidRPr="004C5645">
        <w:rPr>
          <w:highlight w:val="yellow"/>
        </w:rPr>
        <w:t>D is correct</w:t>
      </w:r>
      <w:r>
        <w:t xml:space="preserve">.  The type of medication given does not matter in regards to the likelihood of complications.  The level of blood sugar control achieved affects the likelihood of complications much more than the medication given.  Other important factors include the exercise levels and diet therapy. </w:t>
      </w:r>
      <w:sdt>
        <w:sdtPr>
          <w:id w:val="11938128"/>
          <w:citation/>
        </w:sdtPr>
        <w:sdtContent>
          <w:fldSimple w:instr=" CITATION Lew11 \l 1033 ">
            <w:r w:rsidR="006854F0">
              <w:rPr>
                <w:noProof/>
              </w:rPr>
              <w:t>(Lewis, Dirksen, Heitkemper, Bucher, &amp; Camera, 2011)</w:t>
            </w:r>
          </w:fldSimple>
        </w:sdtContent>
      </w:sdt>
      <w:r>
        <w:t xml:space="preserve"> 1223</w:t>
      </w:r>
    </w:p>
    <w:p w:rsidR="00A21479" w:rsidRDefault="004C5645" w:rsidP="00C364E1">
      <w:pPr>
        <w:pStyle w:val="ListParagraph"/>
        <w:numPr>
          <w:ilvl w:val="0"/>
          <w:numId w:val="1"/>
        </w:numPr>
      </w:pPr>
      <w:r>
        <w:t xml:space="preserve"> </w:t>
      </w:r>
      <w:r w:rsidRPr="004C5645">
        <w:rPr>
          <w:highlight w:val="yellow"/>
        </w:rPr>
        <w:t>B is the right answer</w:t>
      </w:r>
      <w:r>
        <w:t xml:space="preserve">.  The chart of 49-8 shows the glucose raising effects of prednisone. </w:t>
      </w:r>
      <w:sdt>
        <w:sdtPr>
          <w:id w:val="11938129"/>
          <w:citation/>
        </w:sdtPr>
        <w:sdtContent>
          <w:fldSimple w:instr=" CITATION Lew11 \l 1033 ">
            <w:r w:rsidR="006854F0">
              <w:rPr>
                <w:noProof/>
              </w:rPr>
              <w:t>(Lewis, Dirksen, Heitkemper, Bucher, &amp; Camera, 2011)</w:t>
            </w:r>
          </w:fldSimple>
        </w:sdtContent>
      </w:sdt>
      <w:r>
        <w:t xml:space="preserve"> 1231</w:t>
      </w:r>
    </w:p>
    <w:p w:rsidR="0059363A" w:rsidRDefault="0089712D" w:rsidP="00C364E1">
      <w:pPr>
        <w:pStyle w:val="ListParagraph"/>
        <w:numPr>
          <w:ilvl w:val="0"/>
          <w:numId w:val="1"/>
        </w:numPr>
      </w:pPr>
      <w:r w:rsidRPr="0089712D">
        <w:rPr>
          <w:highlight w:val="yellow"/>
        </w:rPr>
        <w:t>D is the best answer</w:t>
      </w:r>
      <w:r>
        <w:t xml:space="preserve">.  Patients must adhere to a regular meal plan on a twice daily NPH diet.  Thus the nurse should ensure that the patient is given enough food and carbohydrates. </w:t>
      </w:r>
      <w:r w:rsidR="00367B5D">
        <w:t xml:space="preserve"> You wouldn’t want </w:t>
      </w:r>
      <w:proofErr w:type="spellStart"/>
      <w:r w:rsidR="00367B5D">
        <w:t>ti</w:t>
      </w:r>
      <w:proofErr w:type="spellEnd"/>
      <w:r w:rsidR="00367B5D">
        <w:t xml:space="preserve"> give a patient with possible hypoglycemia milk.   A dextrose IV would be the intervention if hypoglycemia is resistant to treatment.  Waiting to eat could cause a hypoglycemic event.</w:t>
      </w:r>
      <w:r>
        <w:t xml:space="preserve"> </w:t>
      </w:r>
    </w:p>
    <w:p w:rsidR="00A21479" w:rsidRDefault="0089712D" w:rsidP="00C364E1">
      <w:pPr>
        <w:pStyle w:val="ListParagraph"/>
        <w:numPr>
          <w:ilvl w:val="0"/>
          <w:numId w:val="1"/>
        </w:numPr>
      </w:pPr>
      <w:r w:rsidRPr="0089712D">
        <w:rPr>
          <w:highlight w:val="yellow"/>
        </w:rPr>
        <w:t>B is the right answer</w:t>
      </w:r>
      <w:r>
        <w:t xml:space="preserve">.  The BUN should be </w:t>
      </w:r>
      <w:proofErr w:type="gramStart"/>
      <w:r>
        <w:t>between 6-20</w:t>
      </w:r>
      <w:proofErr w:type="gramEnd"/>
      <w:r>
        <w:t xml:space="preserve">.  The elevated bun could indicate that the patient is going into kidney failure and thus should no longer by on </w:t>
      </w:r>
      <w:proofErr w:type="spellStart"/>
      <w:r>
        <w:t>Glucophage</w:t>
      </w:r>
      <w:proofErr w:type="spellEnd"/>
      <w:r>
        <w:t xml:space="preserve">.  </w:t>
      </w:r>
      <w:sdt>
        <w:sdtPr>
          <w:id w:val="1027584"/>
          <w:citation/>
        </w:sdtPr>
        <w:sdtContent>
          <w:fldSimple w:instr=" CITATION Lew11 \l 1033 ">
            <w:r w:rsidR="006854F0">
              <w:rPr>
                <w:noProof/>
              </w:rPr>
              <w:t>(Lewis, Dirksen, Heitkemper, Bucher, &amp; Camera, 2011)</w:t>
            </w:r>
          </w:fldSimple>
        </w:sdtContent>
      </w:sdt>
      <w:r>
        <w:t>1230</w:t>
      </w:r>
    </w:p>
    <w:p w:rsidR="00A21479" w:rsidRDefault="0089712D" w:rsidP="00C364E1">
      <w:pPr>
        <w:pStyle w:val="ListParagraph"/>
        <w:numPr>
          <w:ilvl w:val="0"/>
          <w:numId w:val="1"/>
        </w:numPr>
      </w:pPr>
      <w:r w:rsidRPr="0089712D">
        <w:rPr>
          <w:highlight w:val="yellow"/>
        </w:rPr>
        <w:t>D is the right answer</w:t>
      </w:r>
      <w:r>
        <w:t xml:space="preserve">.  Tricycles can help prevent neuropathic pain. </w:t>
      </w:r>
      <w:r w:rsidR="000637C9">
        <w:t xml:space="preserve"> class</w:t>
      </w:r>
      <w:r>
        <w:t xml:space="preserve"> </w:t>
      </w:r>
    </w:p>
    <w:p w:rsidR="00A21479" w:rsidRDefault="006130D3" w:rsidP="00C364E1">
      <w:pPr>
        <w:pStyle w:val="ListParagraph"/>
        <w:numPr>
          <w:ilvl w:val="0"/>
          <w:numId w:val="1"/>
        </w:numPr>
      </w:pPr>
      <w:r w:rsidRPr="006130D3">
        <w:rPr>
          <w:highlight w:val="yellow"/>
        </w:rPr>
        <w:t>D is the right answer</w:t>
      </w:r>
      <w:r>
        <w:t xml:space="preserve">.  </w:t>
      </w:r>
      <w:proofErr w:type="spellStart"/>
      <w:r>
        <w:t>Glargine</w:t>
      </w:r>
      <w:proofErr w:type="spellEnd"/>
      <w:r>
        <w:t xml:space="preserve"> is given once a day not at mealtimes.  The patient’s family can not draw up the regular insulin before the patient’s blood sugar is known for the day.  Regular insulin cannot be mixed with </w:t>
      </w:r>
      <w:proofErr w:type="spellStart"/>
      <w:r>
        <w:t>glargine</w:t>
      </w:r>
      <w:proofErr w:type="spellEnd"/>
      <w:r>
        <w:t xml:space="preserve">.  </w:t>
      </w:r>
      <w:sdt>
        <w:sdtPr>
          <w:id w:val="1027585"/>
          <w:citation/>
        </w:sdtPr>
        <w:sdtContent>
          <w:fldSimple w:instr=" CITATION Lew11 \l 1033 ">
            <w:r w:rsidR="006854F0">
              <w:rPr>
                <w:noProof/>
              </w:rPr>
              <w:t>(Lewis, Dirksen, Heitkemper, Bucher, &amp; Camera, 2011)</w:t>
            </w:r>
          </w:fldSimple>
        </w:sdtContent>
      </w:sdt>
      <w:r>
        <w:t xml:space="preserve"> 1223-1230</w:t>
      </w:r>
    </w:p>
    <w:p w:rsidR="00A21479" w:rsidRDefault="006130D3" w:rsidP="00C364E1">
      <w:pPr>
        <w:pStyle w:val="ListParagraph"/>
        <w:numPr>
          <w:ilvl w:val="0"/>
          <w:numId w:val="1"/>
        </w:numPr>
      </w:pPr>
      <w:r w:rsidRPr="006130D3">
        <w:rPr>
          <w:highlight w:val="yellow"/>
        </w:rPr>
        <w:t>D is the best answer.</w:t>
      </w:r>
      <w:r>
        <w:t xml:space="preserve">  This is medication that increases the risk of MI and heart failure.  Pressure on the chest is a sign of cardiac problems.   </w:t>
      </w:r>
      <w:sdt>
        <w:sdtPr>
          <w:id w:val="1027587"/>
          <w:citation/>
        </w:sdtPr>
        <w:sdtContent>
          <w:fldSimple w:instr=" CITATION Lew11 \l 1033 ">
            <w:r w:rsidR="006854F0">
              <w:rPr>
                <w:noProof/>
              </w:rPr>
              <w:t>(Lewis, Dirksen, Heitkemper, Bucher, &amp; Camera, 2011)</w:t>
            </w:r>
          </w:fldSimple>
        </w:sdtContent>
      </w:sdt>
      <w:r>
        <w:t xml:space="preserve"> 1229-230</w:t>
      </w:r>
    </w:p>
    <w:p w:rsidR="00A21479" w:rsidRDefault="00A21479" w:rsidP="00C364E1">
      <w:pPr>
        <w:pStyle w:val="ListParagraph"/>
        <w:numPr>
          <w:ilvl w:val="0"/>
          <w:numId w:val="1"/>
        </w:numPr>
      </w:pPr>
      <w:r w:rsidRPr="00973991">
        <w:rPr>
          <w:highlight w:val="yellow"/>
        </w:rPr>
        <w:t>A</w:t>
      </w:r>
      <w:r w:rsidR="00973991" w:rsidRPr="00973991">
        <w:rPr>
          <w:highlight w:val="yellow"/>
        </w:rPr>
        <w:t xml:space="preserve"> is the best answer</w:t>
      </w:r>
      <w:r w:rsidR="00973991">
        <w:t>.  NPH peaks in 4 to 10 hours and has a risk of hypoglycemia.  A bedtime snack will prevent the patient’s blood sugar from bottoming out in the middle of the night and further complications developing from this</w:t>
      </w:r>
      <w:sdt>
        <w:sdtPr>
          <w:id w:val="1027588"/>
          <w:citation/>
        </w:sdtPr>
        <w:sdtContent>
          <w:fldSimple w:instr=" CITATION Lew11 \l 1033 ">
            <w:r w:rsidR="006854F0">
              <w:rPr>
                <w:noProof/>
              </w:rPr>
              <w:t xml:space="preserve"> (Lewis, Dirksen, Heitkemper, Bucher, &amp; Camera, 2011)</w:t>
            </w:r>
          </w:fldSimple>
        </w:sdtContent>
      </w:sdt>
      <w:r w:rsidR="00973991">
        <w:t xml:space="preserve"> 1225-1226</w:t>
      </w:r>
    </w:p>
    <w:p w:rsidR="00A21479" w:rsidRDefault="00A05DC0" w:rsidP="00C364E1">
      <w:pPr>
        <w:pStyle w:val="ListParagraph"/>
        <w:numPr>
          <w:ilvl w:val="0"/>
          <w:numId w:val="1"/>
        </w:numPr>
      </w:pPr>
      <w:r w:rsidRPr="00A05DC0">
        <w:rPr>
          <w:highlight w:val="yellow"/>
        </w:rPr>
        <w:t>B is the right answer</w:t>
      </w:r>
      <w:r>
        <w:t xml:space="preserve">.  </w:t>
      </w:r>
      <w:proofErr w:type="spellStart"/>
      <w:r>
        <w:t>Biguanades</w:t>
      </w:r>
      <w:proofErr w:type="spellEnd"/>
      <w:r>
        <w:t xml:space="preserve"> and the IV contrast are too much for the kidneys to handle.  Thus </w:t>
      </w:r>
      <w:proofErr w:type="spellStart"/>
      <w:r>
        <w:t>biguandies</w:t>
      </w:r>
      <w:proofErr w:type="spellEnd"/>
      <w:r>
        <w:t xml:space="preserve"> should be held before a CT.  </w:t>
      </w:r>
      <w:sdt>
        <w:sdtPr>
          <w:id w:val="1027589"/>
          <w:citation/>
        </w:sdtPr>
        <w:sdtContent>
          <w:fldSimple w:instr=" CITATION Lew11 \l 1033 ">
            <w:r w:rsidR="006854F0">
              <w:rPr>
                <w:noProof/>
              </w:rPr>
              <w:t>(Lewis, Dirksen, Heitkemper, Bucher, &amp; Camera, 2011)</w:t>
            </w:r>
          </w:fldSimple>
        </w:sdtContent>
      </w:sdt>
      <w:r>
        <w:t xml:space="preserve"> 1229</w:t>
      </w:r>
    </w:p>
    <w:p w:rsidR="00A21479" w:rsidRDefault="00A05DC0" w:rsidP="00C364E1">
      <w:pPr>
        <w:pStyle w:val="ListParagraph"/>
        <w:numPr>
          <w:ilvl w:val="0"/>
          <w:numId w:val="1"/>
        </w:numPr>
      </w:pPr>
      <w:r w:rsidRPr="00A05DC0">
        <w:rPr>
          <w:highlight w:val="yellow"/>
        </w:rPr>
        <w:t>A is the right answer</w:t>
      </w:r>
      <w:r>
        <w:t>.  It says, “</w:t>
      </w:r>
      <w:proofErr w:type="gramStart"/>
      <w:r>
        <w:t>at</w:t>
      </w:r>
      <w:proofErr w:type="gramEnd"/>
      <w:r>
        <w:t xml:space="preserve"> the first sign of hypoglycemia, check the blood glucose if possible.” </w:t>
      </w:r>
      <w:sdt>
        <w:sdtPr>
          <w:id w:val="1027590"/>
          <w:citation/>
        </w:sdtPr>
        <w:sdtContent>
          <w:fldSimple w:instr=" CITATION Lew11 \l 1033 ">
            <w:r w:rsidR="006854F0">
              <w:rPr>
                <w:noProof/>
              </w:rPr>
              <w:t>(Lewis, Dirksen, Heitkemper, Bucher, &amp; Camera, 2011)</w:t>
            </w:r>
          </w:fldSimple>
        </w:sdtContent>
      </w:sdt>
      <w:r>
        <w:t xml:space="preserve"> 1246 </w:t>
      </w:r>
    </w:p>
    <w:p w:rsidR="00A21479" w:rsidRDefault="006854F0" w:rsidP="00C364E1">
      <w:pPr>
        <w:pStyle w:val="ListParagraph"/>
        <w:numPr>
          <w:ilvl w:val="0"/>
          <w:numId w:val="1"/>
        </w:numPr>
      </w:pPr>
      <w:r w:rsidRPr="00367B5D">
        <w:rPr>
          <w:highlight w:val="yellow"/>
        </w:rPr>
        <w:t>C is the right answer.</w:t>
      </w:r>
      <w:r>
        <w:t xml:space="preserve">   The other answers are symptoms of hypothyroidism.  Their presence would indicate the medicine is not reversing the hypothyroid state.  People with hypothyroid </w:t>
      </w:r>
      <w:r>
        <w:lastRenderedPageBreak/>
        <w:t xml:space="preserve">have cool skin and are sensitive to the cold.  A temperature within normal limits indicates that the medication is helping the body adjust and regulate its temperature.  </w:t>
      </w:r>
      <w:sdt>
        <w:sdtPr>
          <w:id w:val="1027591"/>
          <w:citation/>
        </w:sdtPr>
        <w:sdtContent>
          <w:fldSimple w:instr=" CITATION Lew11 \l 1033 ">
            <w:r>
              <w:rPr>
                <w:noProof/>
              </w:rPr>
              <w:t>(Lewis, Dirksen, Heitkemper, Bucher, &amp; Camera, 2011)</w:t>
            </w:r>
          </w:fldSimple>
        </w:sdtContent>
      </w:sdt>
      <w:r>
        <w:t xml:space="preserve"> 1265-1270</w:t>
      </w:r>
    </w:p>
    <w:p w:rsidR="00A21479" w:rsidRPr="00367B5D" w:rsidRDefault="00A21479" w:rsidP="00C364E1">
      <w:pPr>
        <w:pStyle w:val="ListParagraph"/>
        <w:numPr>
          <w:ilvl w:val="0"/>
          <w:numId w:val="1"/>
        </w:numPr>
        <w:rPr>
          <w:highlight w:val="yellow"/>
        </w:rPr>
      </w:pPr>
      <w:proofErr w:type="gramStart"/>
      <w:r w:rsidRPr="00367B5D">
        <w:rPr>
          <w:highlight w:val="yellow"/>
        </w:rPr>
        <w:t>A</w:t>
      </w:r>
      <w:proofErr w:type="gramEnd"/>
      <w:r w:rsidR="00BB5858" w:rsidRPr="00367B5D">
        <w:rPr>
          <w:highlight w:val="yellow"/>
        </w:rPr>
        <w:t xml:space="preserve"> it takes a long time for the RAI to be effective. 1266</w:t>
      </w:r>
      <w:sdt>
        <w:sdtPr>
          <w:rPr>
            <w:highlight w:val="yellow"/>
          </w:rPr>
          <w:id w:val="1701329"/>
          <w:citation/>
        </w:sdtPr>
        <w:sdtContent>
          <w:r w:rsidR="008D41C4" w:rsidRPr="00367B5D">
            <w:rPr>
              <w:highlight w:val="yellow"/>
            </w:rPr>
            <w:fldChar w:fldCharType="begin"/>
          </w:r>
          <w:r w:rsidR="00BB5858" w:rsidRPr="00367B5D">
            <w:rPr>
              <w:highlight w:val="yellow"/>
            </w:rPr>
            <w:instrText xml:space="preserve"> CITATION Lew11 \l 1033 </w:instrText>
          </w:r>
          <w:r w:rsidR="008D41C4" w:rsidRPr="00367B5D">
            <w:rPr>
              <w:highlight w:val="yellow"/>
            </w:rPr>
            <w:fldChar w:fldCharType="separate"/>
          </w:r>
          <w:r w:rsidR="00BB5858" w:rsidRPr="00367B5D">
            <w:rPr>
              <w:noProof/>
              <w:highlight w:val="yellow"/>
            </w:rPr>
            <w:t xml:space="preserve"> (Lewis, Dirksen, Heitkemper, Bucher, &amp; Camera, 2011)</w:t>
          </w:r>
          <w:r w:rsidR="008D41C4" w:rsidRPr="00367B5D">
            <w:rPr>
              <w:highlight w:val="yellow"/>
            </w:rPr>
            <w:fldChar w:fldCharType="end"/>
          </w:r>
        </w:sdtContent>
      </w:sdt>
    </w:p>
    <w:p w:rsidR="00A21479" w:rsidRDefault="00AE6401" w:rsidP="00C364E1">
      <w:pPr>
        <w:pStyle w:val="ListParagraph"/>
        <w:numPr>
          <w:ilvl w:val="0"/>
          <w:numId w:val="1"/>
        </w:numPr>
      </w:pPr>
      <w:r w:rsidRPr="00AE6401">
        <w:rPr>
          <w:highlight w:val="yellow"/>
        </w:rPr>
        <w:t>C is the right answer</w:t>
      </w:r>
      <w:r>
        <w:t xml:space="preserve">.  The potassium levels are too low to give a loop diuretic.  Loop diuretics can drain potassium from the body and cause imbalances.  </w:t>
      </w:r>
    </w:p>
    <w:p w:rsidR="00A21479" w:rsidRDefault="00686A1F" w:rsidP="00C364E1">
      <w:pPr>
        <w:pStyle w:val="ListParagraph"/>
        <w:numPr>
          <w:ilvl w:val="0"/>
          <w:numId w:val="1"/>
        </w:numPr>
      </w:pPr>
      <w:r w:rsidRPr="00FF0820">
        <w:rPr>
          <w:highlight w:val="yellow"/>
        </w:rPr>
        <w:t>B is the right answer</w:t>
      </w:r>
      <w:r>
        <w:t xml:space="preserve">.  It states on page 1281, “During situations associated with physiologic stress, he glucocorticoid dosage must be increased to prevent Addison </w:t>
      </w:r>
      <w:proofErr w:type="gramStart"/>
      <w:r>
        <w:t>an</w:t>
      </w:r>
      <w:proofErr w:type="gramEnd"/>
      <w:r>
        <w:t xml:space="preserve"> crisis.”</w:t>
      </w:r>
      <w:sdt>
        <w:sdtPr>
          <w:id w:val="1144157"/>
          <w:citation/>
        </w:sdtPr>
        <w:sdtContent>
          <w:fldSimple w:instr=" CITATION Lew11 \l 1033 ">
            <w:r>
              <w:rPr>
                <w:noProof/>
              </w:rPr>
              <w:t xml:space="preserve"> (Lewis, Dirksen, Heitkemper, Bucher, &amp; Camera, 2011)</w:t>
            </w:r>
          </w:fldSimple>
        </w:sdtContent>
      </w:sdt>
      <w:r>
        <w:t xml:space="preserve">.  Patients with primary Addison’s can anticipate long term therapy.  Many medications taken in Addison’s can cause upset stomach and should be taken with food.  I have no idea how clean white socks relates to Addison’s disease.   </w:t>
      </w:r>
    </w:p>
    <w:p w:rsidR="00A21479" w:rsidRDefault="003B7738" w:rsidP="00C364E1">
      <w:pPr>
        <w:pStyle w:val="ListParagraph"/>
        <w:numPr>
          <w:ilvl w:val="0"/>
          <w:numId w:val="1"/>
        </w:numPr>
      </w:pPr>
      <w:r w:rsidRPr="00367B5D">
        <w:rPr>
          <w:highlight w:val="yellow"/>
        </w:rPr>
        <w:t>C is the right answer.</w:t>
      </w:r>
      <w:r>
        <w:t xml:space="preserve">  </w:t>
      </w:r>
      <w:proofErr w:type="spellStart"/>
      <w:r w:rsidR="00FF0820">
        <w:t>Glucosteroids</w:t>
      </w:r>
      <w:proofErr w:type="spellEnd"/>
      <w:r>
        <w:t xml:space="preserve"> can cause elevated blood glucose levels</w:t>
      </w:r>
      <w:r w:rsidR="00683DA6">
        <w:t xml:space="preserve">.  Steroids can also cause low potassium levels in long term use, but most IV medications are not given over a long period of time.  ABGS might need to be monitored if the patient developed hypokalemia, but are not important in short term drug administration </w:t>
      </w:r>
      <w:r>
        <w:t xml:space="preserve"> </w:t>
      </w:r>
    </w:p>
    <w:p w:rsidR="00A21479" w:rsidRDefault="00A508B2" w:rsidP="00C364E1">
      <w:pPr>
        <w:pStyle w:val="ListParagraph"/>
        <w:numPr>
          <w:ilvl w:val="0"/>
          <w:numId w:val="1"/>
        </w:numPr>
      </w:pPr>
      <w:r w:rsidRPr="00367B5D">
        <w:rPr>
          <w:highlight w:val="yellow"/>
        </w:rPr>
        <w:t>A is the best answer</w:t>
      </w:r>
      <w:r w:rsidRPr="00E377E7">
        <w:rPr>
          <w:highlight w:val="magenta"/>
        </w:rPr>
        <w:t>.</w:t>
      </w:r>
      <w:r>
        <w:t xml:space="preserve">  Sulfonylurea can cause hypoglycemia.  Thus patients should </w:t>
      </w:r>
      <w:r w:rsidR="00D174BF">
        <w:t>carry a</w:t>
      </w:r>
      <w:r>
        <w:t xml:space="preserve"> source of carbohydrates in case of a hypoglycemic episode.  </w:t>
      </w:r>
      <w:sdt>
        <w:sdtPr>
          <w:id w:val="1144158"/>
          <w:citation/>
        </w:sdtPr>
        <w:sdtContent>
          <w:fldSimple w:instr=" CITATION Lew11 \l 1033 ">
            <w:r>
              <w:rPr>
                <w:noProof/>
              </w:rPr>
              <w:t>(Lewis, Dirksen, Heitkemper, Bucher, &amp; Camera, 2011)</w:t>
            </w:r>
          </w:fldSimple>
        </w:sdtContent>
      </w:sdt>
      <w:r>
        <w:t xml:space="preserve"> 1229</w:t>
      </w:r>
    </w:p>
    <w:p w:rsidR="00A21479" w:rsidRDefault="00A508B2" w:rsidP="00C364E1">
      <w:pPr>
        <w:pStyle w:val="ListParagraph"/>
        <w:numPr>
          <w:ilvl w:val="0"/>
          <w:numId w:val="1"/>
        </w:numPr>
      </w:pPr>
      <w:r w:rsidRPr="00A508B2">
        <w:rPr>
          <w:highlight w:val="yellow"/>
        </w:rPr>
        <w:t>D is the best answer</w:t>
      </w:r>
      <w:r>
        <w:t xml:space="preserve">.  Since the peak of action is between 4 and 10 hours, a late night snack would ensure the patient does not have hypoglycemia during the night.   The A1C monitors long term blood sugar. It would not help identify short term variations in blood sugar.   The other answers would not verify the blood sugar at the medication’s peak of action. </w:t>
      </w:r>
      <w:sdt>
        <w:sdtPr>
          <w:id w:val="1144159"/>
          <w:citation/>
        </w:sdtPr>
        <w:sdtContent>
          <w:fldSimple w:instr=" CITATION Lew11 \l 1033 ">
            <w:r>
              <w:rPr>
                <w:noProof/>
              </w:rPr>
              <w:t xml:space="preserve"> (Lewis, Dirksen, Heitkemper, Bucher, &amp; Camera, 2011)</w:t>
            </w:r>
          </w:fldSimple>
        </w:sdtContent>
      </w:sdt>
      <w:r>
        <w:t xml:space="preserve"> 1225-1226</w:t>
      </w:r>
    </w:p>
    <w:p w:rsidR="00A21479" w:rsidRDefault="00A508B2" w:rsidP="00C364E1">
      <w:pPr>
        <w:pStyle w:val="ListParagraph"/>
        <w:numPr>
          <w:ilvl w:val="0"/>
          <w:numId w:val="1"/>
        </w:numPr>
      </w:pPr>
      <w:r w:rsidRPr="00A508B2">
        <w:rPr>
          <w:highlight w:val="yellow"/>
        </w:rPr>
        <w:t>C is the right answer</w:t>
      </w:r>
      <w:r>
        <w:t xml:space="preserve">.  </w:t>
      </w:r>
      <w:proofErr w:type="spellStart"/>
      <w:r>
        <w:t>Metformin</w:t>
      </w:r>
      <w:proofErr w:type="spellEnd"/>
      <w:r>
        <w:t xml:space="preserve"> should not be given to a patient having a CT scan because the IV contrast can interact with the </w:t>
      </w:r>
      <w:proofErr w:type="spellStart"/>
      <w:r>
        <w:t>Metformin</w:t>
      </w:r>
      <w:proofErr w:type="spellEnd"/>
      <w:r>
        <w:t xml:space="preserve"> and overload the kidneys.  </w:t>
      </w:r>
    </w:p>
    <w:p w:rsidR="00A21479" w:rsidRDefault="00A508B2" w:rsidP="00C364E1">
      <w:pPr>
        <w:pStyle w:val="ListParagraph"/>
        <w:numPr>
          <w:ilvl w:val="0"/>
          <w:numId w:val="1"/>
        </w:numPr>
      </w:pPr>
      <w:r w:rsidRPr="005F5764">
        <w:rPr>
          <w:highlight w:val="yellow"/>
        </w:rPr>
        <w:t>B is the right answer</w:t>
      </w:r>
      <w:r>
        <w:t xml:space="preserve">.  </w:t>
      </w:r>
      <w:proofErr w:type="spellStart"/>
      <w:r>
        <w:t>Lantus</w:t>
      </w:r>
      <w:proofErr w:type="spellEnd"/>
      <w:r>
        <w:t xml:space="preserve"> is a long term medication that can be given at night. Thus the nurse does not need to file a </w:t>
      </w:r>
      <w:r w:rsidR="00D174BF">
        <w:t>medication error</w:t>
      </w:r>
      <w:r>
        <w:t xml:space="preserve"> report or ask why the medication is being given late.  </w:t>
      </w:r>
      <w:sdt>
        <w:sdtPr>
          <w:id w:val="1144160"/>
          <w:citation/>
        </w:sdtPr>
        <w:sdtContent>
          <w:fldSimple w:instr=" CITATION Lew11 \l 1033 ">
            <w:r>
              <w:rPr>
                <w:noProof/>
              </w:rPr>
              <w:t>(Lewis, Dirksen, Heitkemper, Bucher, &amp; Camera, 2011)</w:t>
            </w:r>
          </w:fldSimple>
        </w:sdtContent>
      </w:sdt>
      <w:r>
        <w:t xml:space="preserve"> 1225</w:t>
      </w:r>
    </w:p>
    <w:p w:rsidR="00A21479" w:rsidRDefault="00A508B2" w:rsidP="00C364E1">
      <w:pPr>
        <w:pStyle w:val="ListParagraph"/>
        <w:numPr>
          <w:ilvl w:val="0"/>
          <w:numId w:val="1"/>
        </w:numPr>
      </w:pPr>
      <w:r w:rsidRPr="005F5764">
        <w:rPr>
          <w:highlight w:val="yellow"/>
        </w:rPr>
        <w:t>C is the right answer.</w:t>
      </w:r>
      <w:r>
        <w:t xml:space="preserve"> </w:t>
      </w:r>
      <w:r w:rsidR="005F5764">
        <w:t xml:space="preserve">Tachycardia and irritability are signs of hyperthyroidism which </w:t>
      </w:r>
      <w:proofErr w:type="spellStart"/>
      <w:r w:rsidR="005F5764">
        <w:t>wold</w:t>
      </w:r>
      <w:proofErr w:type="spellEnd"/>
      <w:r w:rsidR="005F5764">
        <w:t xml:space="preserve"> occur from an over medication.  </w:t>
      </w:r>
      <w:r>
        <w:t xml:space="preserve">The first 2 answer involve signs and symptoms of hypothyroidism which would indicate the patient is NOT receiving enough medication.  The </w:t>
      </w:r>
      <w:r w:rsidR="005F5764">
        <w:t xml:space="preserve">last one would indicate the medication is being somewhat effective but not completely.   </w:t>
      </w:r>
      <w:sdt>
        <w:sdtPr>
          <w:id w:val="1144161"/>
          <w:citation/>
        </w:sdtPr>
        <w:sdtContent>
          <w:fldSimple w:instr=" CITATION Lew11 \l 1033 ">
            <w:r w:rsidR="005F5764">
              <w:rPr>
                <w:noProof/>
              </w:rPr>
              <w:t>(Lewis, Dirksen, Heitkemper, Bucher, &amp; Camera, 2011)</w:t>
            </w:r>
          </w:fldSimple>
        </w:sdtContent>
      </w:sdt>
      <w:r w:rsidR="005F5764">
        <w:t xml:space="preserve"> 1271</w:t>
      </w:r>
    </w:p>
    <w:p w:rsidR="00A21479" w:rsidRDefault="005F5764" w:rsidP="00C364E1">
      <w:pPr>
        <w:pStyle w:val="ListParagraph"/>
        <w:numPr>
          <w:ilvl w:val="0"/>
          <w:numId w:val="1"/>
        </w:numPr>
      </w:pPr>
      <w:r w:rsidRPr="005F5764">
        <w:rPr>
          <w:highlight w:val="yellow"/>
        </w:rPr>
        <w:t>D is the right answer</w:t>
      </w:r>
      <w:r>
        <w:t xml:space="preserve">.  The patient would not want to take a potassium supplement because one of the side effects of the medication is Hyperkalemia.  A cough is an expected side effect of </w:t>
      </w:r>
      <w:proofErr w:type="spellStart"/>
      <w:r>
        <w:t>ACcE</w:t>
      </w:r>
      <w:proofErr w:type="spellEnd"/>
      <w:r>
        <w:t xml:space="preserve"> inhibitors and should not cause concerns.  The blood pressure is </w:t>
      </w:r>
      <w:proofErr w:type="spellStart"/>
      <w:r>
        <w:t>normotensive</w:t>
      </w:r>
      <w:proofErr w:type="spellEnd"/>
      <w:r>
        <w:t xml:space="preserve">.  The last on causes concern because a side effect of the medication causes water and sodium retention.  Too much </w:t>
      </w:r>
      <w:proofErr w:type="spellStart"/>
      <w:r>
        <w:t>retension</w:t>
      </w:r>
      <w:proofErr w:type="spellEnd"/>
      <w:r>
        <w:t xml:space="preserve"> of these substances could cause problems.  High sodium levels could even increase BP. </w:t>
      </w:r>
      <w:sdt>
        <w:sdtPr>
          <w:id w:val="1144165"/>
          <w:citation/>
        </w:sdtPr>
        <w:sdtContent>
          <w:fldSimple w:instr=" CITATION Lew11 \l 1033 ">
            <w:r w:rsidR="00D174BF">
              <w:rPr>
                <w:noProof/>
              </w:rPr>
              <w:t>(Lewis, Dirksen, Heitkemper, Bucher, &amp; Camera, 2011)</w:t>
            </w:r>
          </w:fldSimple>
        </w:sdtContent>
      </w:sdt>
      <w:r w:rsidR="00D174BF">
        <w:t xml:space="preserve"> 755</w:t>
      </w:r>
    </w:p>
    <w:p w:rsidR="00A21479" w:rsidRDefault="005F5764" w:rsidP="00C364E1">
      <w:pPr>
        <w:pStyle w:val="ListParagraph"/>
        <w:numPr>
          <w:ilvl w:val="0"/>
          <w:numId w:val="1"/>
        </w:numPr>
      </w:pPr>
      <w:r w:rsidRPr="005F5764">
        <w:rPr>
          <w:highlight w:val="yellow"/>
        </w:rPr>
        <w:lastRenderedPageBreak/>
        <w:t>C is the right answer</w:t>
      </w:r>
      <w:r>
        <w:t xml:space="preserve">.  These are signs of dehydration which would cause the nurse to question administering a medication that will cause further fluid loss. </w:t>
      </w:r>
      <w:sdt>
        <w:sdtPr>
          <w:id w:val="1144164"/>
          <w:citation/>
        </w:sdtPr>
        <w:sdtContent>
          <w:fldSimple w:instr=" CITATION Lew11 \l 1033 ">
            <w:r w:rsidR="00D174BF">
              <w:rPr>
                <w:noProof/>
              </w:rPr>
              <w:t>(Lewis, Dirksen, Heitkemper, Bucher, &amp; Camera, 2011)</w:t>
            </w:r>
          </w:fldSimple>
        </w:sdtContent>
      </w:sdt>
      <w:r w:rsidR="00D174BF">
        <w:t xml:space="preserve"> 755</w:t>
      </w:r>
    </w:p>
    <w:p w:rsidR="00A21479" w:rsidRDefault="00E377E7" w:rsidP="00C364E1">
      <w:pPr>
        <w:pStyle w:val="ListParagraph"/>
        <w:numPr>
          <w:ilvl w:val="0"/>
          <w:numId w:val="1"/>
        </w:numPr>
      </w:pPr>
      <w:r>
        <w:t xml:space="preserve"> </w:t>
      </w:r>
      <w:r w:rsidR="00C91404" w:rsidRPr="00367B5D">
        <w:rPr>
          <w:highlight w:val="yellow"/>
        </w:rPr>
        <w:t>C is the best answer.</w:t>
      </w:r>
      <w:r>
        <w:t xml:space="preserve">  The temperature indicates an infection but that would not be impacted by a Calcium Channel Blockers.   The cough is a common side effect of an ACE but would not be related to a calcium channel blockers.  The blood pressure reading is </w:t>
      </w:r>
      <w:r w:rsidR="00C91404">
        <w:t xml:space="preserve">low normal, but the addition of a BP medication could induce the BP to drop too low.  </w:t>
      </w:r>
      <w:r>
        <w:t xml:space="preserve">Dizziness </w:t>
      </w:r>
      <w:r w:rsidR="00C91404">
        <w:t>is an expected side effect</w:t>
      </w:r>
      <w:r>
        <w:t xml:space="preserve">. </w:t>
      </w:r>
      <w:sdt>
        <w:sdtPr>
          <w:id w:val="1144163"/>
          <w:citation/>
        </w:sdtPr>
        <w:sdtContent>
          <w:fldSimple w:instr=" CITATION Lew11 \l 1033 ">
            <w:r w:rsidR="00D174BF">
              <w:rPr>
                <w:noProof/>
              </w:rPr>
              <w:t>(Lewis, Dirksen, Heitkemper, Bucher, &amp; Camera, 2011)</w:t>
            </w:r>
          </w:fldSimple>
        </w:sdtContent>
      </w:sdt>
    </w:p>
    <w:p w:rsidR="00A21479" w:rsidRPr="00D174BF" w:rsidRDefault="00D174BF" w:rsidP="00C364E1">
      <w:pPr>
        <w:pStyle w:val="ListParagraph"/>
        <w:numPr>
          <w:ilvl w:val="0"/>
          <w:numId w:val="1"/>
        </w:numPr>
        <w:rPr>
          <w:highlight w:val="yellow"/>
        </w:rPr>
      </w:pPr>
      <w:r>
        <w:rPr>
          <w:highlight w:val="yellow"/>
        </w:rPr>
        <w:t xml:space="preserve">D is the best answer. </w:t>
      </w:r>
      <w:r w:rsidRPr="00D174BF">
        <w:t xml:space="preserve">The fluid intact does not need to be restricted.  A </w:t>
      </w:r>
      <w:proofErr w:type="spellStart"/>
      <w:r w:rsidRPr="00D174BF">
        <w:t>foley</w:t>
      </w:r>
      <w:proofErr w:type="spellEnd"/>
      <w:r w:rsidRPr="00D174BF">
        <w:t xml:space="preserve"> Catheter is not needed.  Urinary outputs are still needed.</w:t>
      </w:r>
      <w:r w:rsidR="00367B5D">
        <w:t xml:space="preserve"> However a UAP can document the I and O</w:t>
      </w:r>
      <w:r w:rsidRPr="00D174BF">
        <w:t xml:space="preserve">  </w:t>
      </w:r>
      <w:sdt>
        <w:sdtPr>
          <w:id w:val="1144162"/>
          <w:citation/>
        </w:sdtPr>
        <w:sdtContent>
          <w:fldSimple w:instr=" CITATION Lew11 \l 1033 ">
            <w:r>
              <w:rPr>
                <w:noProof/>
              </w:rPr>
              <w:t>(Lewis, Dirksen, Heitkemper, Bucher, &amp; Camera, 2011)</w:t>
            </w:r>
          </w:fldSimple>
        </w:sdtContent>
      </w:sdt>
      <w:r>
        <w:t xml:space="preserve"> </w:t>
      </w:r>
    </w:p>
    <w:p w:rsidR="00A21479" w:rsidRDefault="00DD6A80" w:rsidP="00C364E1">
      <w:pPr>
        <w:pStyle w:val="ListParagraph"/>
        <w:numPr>
          <w:ilvl w:val="0"/>
          <w:numId w:val="1"/>
        </w:numPr>
      </w:pPr>
      <w:r w:rsidRPr="00DD6A80">
        <w:rPr>
          <w:highlight w:val="yellow"/>
        </w:rPr>
        <w:t>D is the right answer</w:t>
      </w:r>
      <w:r>
        <w:t xml:space="preserve">.  This is a normal urination schedule and would this imply that DI is getting weaker.  </w:t>
      </w:r>
      <w:r w:rsidR="00784C86">
        <w:t xml:space="preserve"> I can immediately eliminate </w:t>
      </w:r>
      <w:r>
        <w:t xml:space="preserve">B because this is a symptom </w:t>
      </w:r>
      <w:r w:rsidR="00784C86">
        <w:t>of DI.  If the mediation w</w:t>
      </w:r>
      <w:r>
        <w:t>a</w:t>
      </w:r>
      <w:r w:rsidR="00784C86">
        <w:t xml:space="preserve">s effective then these symptoms should be subsiding.  DI has no impact on blood sugar. </w:t>
      </w:r>
      <w:r>
        <w:t xml:space="preserve"> The ease of breathing  is not related to DI</w:t>
      </w:r>
    </w:p>
    <w:p w:rsidR="00A21479" w:rsidRDefault="00DD6A80" w:rsidP="00A21479">
      <w:pPr>
        <w:pStyle w:val="ListParagraph"/>
        <w:numPr>
          <w:ilvl w:val="0"/>
          <w:numId w:val="1"/>
        </w:numPr>
      </w:pPr>
      <w:r w:rsidRPr="00DD6A80">
        <w:rPr>
          <w:highlight w:val="yellow"/>
        </w:rPr>
        <w:t>A is the right answer</w:t>
      </w:r>
      <w:r>
        <w:t xml:space="preserve">.  I would question a medication that decreased the body’s ability to form clots before a surgery.  This seems to place a patient at a higher risk for hemorrhage.  You would want your glucose to be well controlled before surgery.  The other two medications make sense before a surgery to remove some of the bowel contents and bacterial flora. </w:t>
      </w:r>
    </w:p>
    <w:p w:rsidR="00A21479" w:rsidRDefault="00DD6A80" w:rsidP="00A21479">
      <w:pPr>
        <w:pStyle w:val="ListParagraph"/>
        <w:numPr>
          <w:ilvl w:val="0"/>
          <w:numId w:val="1"/>
        </w:numPr>
      </w:pPr>
      <w:r w:rsidRPr="007557C5">
        <w:rPr>
          <w:highlight w:val="yellow"/>
        </w:rPr>
        <w:t>3 units</w:t>
      </w:r>
      <w:r>
        <w:t xml:space="preserve"> according to the sliding scale because the patient’s blood sugar is </w:t>
      </w:r>
      <w:proofErr w:type="gramStart"/>
      <w:r>
        <w:t>between 151-200</w:t>
      </w:r>
      <w:proofErr w:type="gramEnd"/>
      <w:r>
        <w:t xml:space="preserve">. </w:t>
      </w:r>
    </w:p>
    <w:p w:rsidR="00A21479" w:rsidRDefault="007557C5" w:rsidP="00A21479">
      <w:pPr>
        <w:pStyle w:val="ListParagraph"/>
        <w:numPr>
          <w:ilvl w:val="0"/>
          <w:numId w:val="1"/>
        </w:numPr>
      </w:pPr>
      <w:r w:rsidRPr="007557C5">
        <w:rPr>
          <w:highlight w:val="yellow"/>
        </w:rPr>
        <w:t>2 sprays for each of the</w:t>
      </w:r>
      <w:r>
        <w:rPr>
          <w:highlight w:val="yellow"/>
        </w:rPr>
        <w:t xml:space="preserve"> two</w:t>
      </w:r>
      <w:r w:rsidRPr="007557C5">
        <w:rPr>
          <w:highlight w:val="yellow"/>
        </w:rPr>
        <w:t xml:space="preserve"> sittings</w:t>
      </w:r>
      <w:r>
        <w:t xml:space="preserve">. </w:t>
      </w:r>
      <w:r w:rsidR="00DD6A80">
        <w:t xml:space="preserve">  If each spray contains 10 grams, there will be 4 sprays total in a day. Since the sprays are given every 12 hours, there will be two total applications of medications.  Thus two sprays will be given </w:t>
      </w:r>
      <w:r>
        <w:t>at each of the 2 applications for a total of 4 sprays of 10 grams each.  This would total 40 grams per 24 hours</w:t>
      </w:r>
    </w:p>
    <w:p w:rsidR="00A21479" w:rsidRDefault="007557C5" w:rsidP="00A21479">
      <w:pPr>
        <w:pStyle w:val="ListParagraph"/>
        <w:numPr>
          <w:ilvl w:val="0"/>
          <w:numId w:val="1"/>
        </w:numPr>
      </w:pPr>
      <w:r w:rsidRPr="007557C5">
        <w:rPr>
          <w:highlight w:val="yellow"/>
        </w:rPr>
        <w:t xml:space="preserve">125 </w:t>
      </w:r>
      <w:proofErr w:type="spellStart"/>
      <w:r w:rsidRPr="007557C5">
        <w:rPr>
          <w:highlight w:val="yellow"/>
        </w:rPr>
        <w:t>gtt</w:t>
      </w:r>
      <w:proofErr w:type="spellEnd"/>
      <w:r w:rsidRPr="007557C5">
        <w:rPr>
          <w:highlight w:val="yellow"/>
        </w:rPr>
        <w:t>/min</w:t>
      </w:r>
      <w:r>
        <w:t xml:space="preserve"> </w:t>
      </w:r>
      <w:proofErr w:type="gramStart"/>
      <w:r w:rsidR="00A21479">
        <w:t>A</w:t>
      </w:r>
      <w:proofErr w:type="gramEnd"/>
      <w:r>
        <w:t xml:space="preserve"> </w:t>
      </w:r>
      <w:proofErr w:type="spellStart"/>
      <w:r>
        <w:t>microdrip</w:t>
      </w:r>
      <w:proofErr w:type="spellEnd"/>
      <w:r>
        <w:t xml:space="preserve"> tubing has 60 </w:t>
      </w:r>
      <w:proofErr w:type="spellStart"/>
      <w:r>
        <w:t>gtt</w:t>
      </w:r>
      <w:proofErr w:type="spellEnd"/>
      <w:r>
        <w:t xml:space="preserve">/ml.  1000 </w:t>
      </w:r>
      <w:proofErr w:type="spellStart"/>
      <w:r>
        <w:t>mls</w:t>
      </w:r>
      <w:proofErr w:type="spellEnd"/>
      <w:r>
        <w:t xml:space="preserve"> for 8 hours </w:t>
      </w:r>
      <w:proofErr w:type="gramStart"/>
      <w:r>
        <w:t>equals  125</w:t>
      </w:r>
      <w:proofErr w:type="gramEnd"/>
      <w:r>
        <w:t xml:space="preserve"> ml per hour or 2.08333 ml per min.  2.0833 times 60 </w:t>
      </w:r>
      <w:proofErr w:type="spellStart"/>
      <w:r>
        <w:t>gtt</w:t>
      </w:r>
      <w:proofErr w:type="spellEnd"/>
      <w:r>
        <w:t xml:space="preserve">/ml equals 125 </w:t>
      </w:r>
      <w:proofErr w:type="spellStart"/>
      <w:r>
        <w:t>gtt</w:t>
      </w:r>
      <w:proofErr w:type="spellEnd"/>
      <w:r>
        <w:t>/min</w:t>
      </w:r>
    </w:p>
    <w:p w:rsidR="00A21479" w:rsidRDefault="007557C5" w:rsidP="00A21479">
      <w:pPr>
        <w:pStyle w:val="ListParagraph"/>
        <w:numPr>
          <w:ilvl w:val="0"/>
          <w:numId w:val="1"/>
        </w:numPr>
      </w:pPr>
      <w:r>
        <w:t xml:space="preserve"> </w:t>
      </w:r>
      <w:r w:rsidRPr="007557C5">
        <w:rPr>
          <w:highlight w:val="yellow"/>
        </w:rPr>
        <w:t>10 units</w:t>
      </w:r>
      <w:r>
        <w:t xml:space="preserve"> because the 380 FSBS is </w:t>
      </w:r>
      <w:proofErr w:type="gramStart"/>
      <w:r>
        <w:t>between 351-450</w:t>
      </w:r>
      <w:proofErr w:type="gramEnd"/>
      <w:r>
        <w:t xml:space="preserve">. </w:t>
      </w:r>
    </w:p>
    <w:p w:rsidR="00A21479" w:rsidRPr="007557C5" w:rsidRDefault="007557C5" w:rsidP="00A21479">
      <w:pPr>
        <w:pStyle w:val="ListParagraph"/>
        <w:numPr>
          <w:ilvl w:val="0"/>
          <w:numId w:val="1"/>
        </w:numPr>
        <w:rPr>
          <w:highlight w:val="yellow"/>
        </w:rPr>
      </w:pPr>
      <w:r w:rsidRPr="007557C5">
        <w:rPr>
          <w:highlight w:val="yellow"/>
        </w:rPr>
        <w:t xml:space="preserve">100ml per hour for 79 hours (7900ml) plus 50 ml for 16 doses (800ml) equals 8700ml or 8.7 L. </w:t>
      </w:r>
    </w:p>
    <w:sdt>
      <w:sdtPr>
        <w:rPr>
          <w:rFonts w:asciiTheme="minorHAnsi" w:eastAsiaTheme="minorHAnsi" w:hAnsiTheme="minorHAnsi" w:cstheme="minorBidi"/>
          <w:b w:val="0"/>
          <w:bCs w:val="0"/>
          <w:color w:val="auto"/>
          <w:sz w:val="22"/>
          <w:szCs w:val="22"/>
          <w:lang w:bidi="ar-SA"/>
        </w:rPr>
        <w:id w:val="1872345"/>
        <w:docPartObj>
          <w:docPartGallery w:val="Bibliographies"/>
          <w:docPartUnique/>
        </w:docPartObj>
      </w:sdtPr>
      <w:sdtContent>
        <w:p w:rsidR="00480B31" w:rsidRDefault="00480B31">
          <w:pPr>
            <w:pStyle w:val="Heading1"/>
          </w:pPr>
          <w:r>
            <w:t>Bibliography</w:t>
          </w:r>
        </w:p>
        <w:sdt>
          <w:sdtPr>
            <w:id w:val="111145805"/>
            <w:bibliography/>
          </w:sdtPr>
          <w:sdtContent>
            <w:p w:rsidR="006854F0" w:rsidRDefault="008D41C4" w:rsidP="006854F0">
              <w:pPr>
                <w:pStyle w:val="Bibliography"/>
                <w:rPr>
                  <w:noProof/>
                </w:rPr>
              </w:pPr>
              <w:r>
                <w:fldChar w:fldCharType="begin"/>
              </w:r>
              <w:r w:rsidR="00480B31">
                <w:instrText xml:space="preserve"> BIBLIOGRAPHY </w:instrText>
              </w:r>
              <w:r>
                <w:fldChar w:fldCharType="separate"/>
              </w:r>
              <w:r w:rsidR="006854F0">
                <w:rPr>
                  <w:noProof/>
                </w:rPr>
                <w:t xml:space="preserve">ATI. </w:t>
              </w:r>
              <w:r w:rsidR="006854F0">
                <w:rPr>
                  <w:i/>
                  <w:iCs/>
                  <w:noProof/>
                </w:rPr>
                <w:t>Ati Pharmacology.</w:t>
              </w:r>
              <w:r w:rsidR="006854F0">
                <w:rPr>
                  <w:noProof/>
                </w:rPr>
                <w:t xml:space="preserve"> ATI.</w:t>
              </w:r>
            </w:p>
            <w:p w:rsidR="006854F0" w:rsidRDefault="006854F0" w:rsidP="006854F0">
              <w:pPr>
                <w:pStyle w:val="Bibliography"/>
                <w:rPr>
                  <w:noProof/>
                </w:rPr>
              </w:pPr>
              <w:r>
                <w:rPr>
                  <w:noProof/>
                </w:rPr>
                <w:t xml:space="preserve">(2011). Diabetes Mellitus. In S. Lewis, S. Dirksen, M. Heitkemper, L. Bucher, &amp; I. Camera, </w:t>
              </w:r>
              <w:r>
                <w:rPr>
                  <w:i/>
                  <w:iCs/>
                  <w:noProof/>
                </w:rPr>
                <w:t>Medical Surgical Nurings</w:t>
              </w:r>
              <w:r>
                <w:rPr>
                  <w:noProof/>
                </w:rPr>
                <w:t xml:space="preserve"> (pp. 1218-1252). St. Louis: Elsevier.</w:t>
              </w:r>
            </w:p>
            <w:p w:rsidR="00480B31" w:rsidRDefault="008D41C4" w:rsidP="006854F0">
              <w:r>
                <w:fldChar w:fldCharType="end"/>
              </w:r>
            </w:p>
          </w:sdtContent>
        </w:sdt>
      </w:sdtContent>
    </w:sdt>
    <w:p w:rsidR="00A21479" w:rsidRDefault="00A21479" w:rsidP="00A21479">
      <w:pPr>
        <w:pStyle w:val="ListParagraph"/>
      </w:pPr>
    </w:p>
    <w:sectPr w:rsidR="00A21479" w:rsidSect="00FE47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1330"/>
    <w:multiLevelType w:val="hybridMultilevel"/>
    <w:tmpl w:val="939A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C364E1"/>
    <w:rsid w:val="0000714D"/>
    <w:rsid w:val="0000734E"/>
    <w:rsid w:val="00022202"/>
    <w:rsid w:val="00023331"/>
    <w:rsid w:val="00041DD4"/>
    <w:rsid w:val="000505F2"/>
    <w:rsid w:val="00051C0F"/>
    <w:rsid w:val="000637C9"/>
    <w:rsid w:val="00063DA6"/>
    <w:rsid w:val="00067B8E"/>
    <w:rsid w:val="000729C3"/>
    <w:rsid w:val="00073E31"/>
    <w:rsid w:val="00081504"/>
    <w:rsid w:val="000877A2"/>
    <w:rsid w:val="00095C18"/>
    <w:rsid w:val="00096239"/>
    <w:rsid w:val="000962B7"/>
    <w:rsid w:val="00097F95"/>
    <w:rsid w:val="000A0B05"/>
    <w:rsid w:val="000A705E"/>
    <w:rsid w:val="000B1BB6"/>
    <w:rsid w:val="000B4F36"/>
    <w:rsid w:val="000D0F55"/>
    <w:rsid w:val="000D2003"/>
    <w:rsid w:val="000D4892"/>
    <w:rsid w:val="000E78B3"/>
    <w:rsid w:val="000F20DC"/>
    <w:rsid w:val="000F687E"/>
    <w:rsid w:val="000F7B09"/>
    <w:rsid w:val="001001C3"/>
    <w:rsid w:val="00100AA5"/>
    <w:rsid w:val="00101136"/>
    <w:rsid w:val="0011336C"/>
    <w:rsid w:val="0012105C"/>
    <w:rsid w:val="00123E6D"/>
    <w:rsid w:val="001247BF"/>
    <w:rsid w:val="00124F87"/>
    <w:rsid w:val="00126BD1"/>
    <w:rsid w:val="0013112B"/>
    <w:rsid w:val="00131D8E"/>
    <w:rsid w:val="00137C5D"/>
    <w:rsid w:val="001404EE"/>
    <w:rsid w:val="001439A0"/>
    <w:rsid w:val="00150C8B"/>
    <w:rsid w:val="00152750"/>
    <w:rsid w:val="00155BAF"/>
    <w:rsid w:val="00157613"/>
    <w:rsid w:val="00162A86"/>
    <w:rsid w:val="001728C5"/>
    <w:rsid w:val="0017480E"/>
    <w:rsid w:val="001756B0"/>
    <w:rsid w:val="00184644"/>
    <w:rsid w:val="001A0836"/>
    <w:rsid w:val="001A629F"/>
    <w:rsid w:val="001B1A9F"/>
    <w:rsid w:val="001B56F4"/>
    <w:rsid w:val="001B5868"/>
    <w:rsid w:val="001B5B18"/>
    <w:rsid w:val="001C5100"/>
    <w:rsid w:val="001D53D9"/>
    <w:rsid w:val="001D711B"/>
    <w:rsid w:val="001D7FED"/>
    <w:rsid w:val="001E12D4"/>
    <w:rsid w:val="001E2023"/>
    <w:rsid w:val="001E40C4"/>
    <w:rsid w:val="001E48F6"/>
    <w:rsid w:val="001F0050"/>
    <w:rsid w:val="001F5707"/>
    <w:rsid w:val="001F6F77"/>
    <w:rsid w:val="001F7BC4"/>
    <w:rsid w:val="002016F2"/>
    <w:rsid w:val="00204215"/>
    <w:rsid w:val="0020442B"/>
    <w:rsid w:val="00211DF2"/>
    <w:rsid w:val="002122B2"/>
    <w:rsid w:val="0021296D"/>
    <w:rsid w:val="0021497B"/>
    <w:rsid w:val="0022752A"/>
    <w:rsid w:val="00241A26"/>
    <w:rsid w:val="0024748C"/>
    <w:rsid w:val="00254C27"/>
    <w:rsid w:val="00255563"/>
    <w:rsid w:val="002639B7"/>
    <w:rsid w:val="0026763F"/>
    <w:rsid w:val="00282262"/>
    <w:rsid w:val="00282893"/>
    <w:rsid w:val="00282E62"/>
    <w:rsid w:val="00283785"/>
    <w:rsid w:val="002879F0"/>
    <w:rsid w:val="0029232A"/>
    <w:rsid w:val="00292C48"/>
    <w:rsid w:val="002A0728"/>
    <w:rsid w:val="002A4415"/>
    <w:rsid w:val="002A5E4A"/>
    <w:rsid w:val="002A654B"/>
    <w:rsid w:val="002A71E5"/>
    <w:rsid w:val="002B235B"/>
    <w:rsid w:val="002B2C9B"/>
    <w:rsid w:val="002B3EF4"/>
    <w:rsid w:val="002C0D3B"/>
    <w:rsid w:val="002C2B57"/>
    <w:rsid w:val="002E2576"/>
    <w:rsid w:val="002E49C4"/>
    <w:rsid w:val="002E4ED7"/>
    <w:rsid w:val="002F1B27"/>
    <w:rsid w:val="002F30CB"/>
    <w:rsid w:val="00301795"/>
    <w:rsid w:val="003039E5"/>
    <w:rsid w:val="00304194"/>
    <w:rsid w:val="00307478"/>
    <w:rsid w:val="00307F62"/>
    <w:rsid w:val="003120E2"/>
    <w:rsid w:val="003121B8"/>
    <w:rsid w:val="0032063E"/>
    <w:rsid w:val="00324571"/>
    <w:rsid w:val="00326886"/>
    <w:rsid w:val="00332328"/>
    <w:rsid w:val="003334B8"/>
    <w:rsid w:val="003421DD"/>
    <w:rsid w:val="00342720"/>
    <w:rsid w:val="00342B51"/>
    <w:rsid w:val="003525AC"/>
    <w:rsid w:val="00353A35"/>
    <w:rsid w:val="0035562D"/>
    <w:rsid w:val="003577F0"/>
    <w:rsid w:val="00366606"/>
    <w:rsid w:val="00366B58"/>
    <w:rsid w:val="003678CB"/>
    <w:rsid w:val="00367B5D"/>
    <w:rsid w:val="003724DA"/>
    <w:rsid w:val="00375D08"/>
    <w:rsid w:val="00375ED0"/>
    <w:rsid w:val="003764B5"/>
    <w:rsid w:val="00381C49"/>
    <w:rsid w:val="00382CB3"/>
    <w:rsid w:val="003850E9"/>
    <w:rsid w:val="003A102F"/>
    <w:rsid w:val="003A21F3"/>
    <w:rsid w:val="003B7738"/>
    <w:rsid w:val="003C1657"/>
    <w:rsid w:val="003C354C"/>
    <w:rsid w:val="003D62C7"/>
    <w:rsid w:val="003E2674"/>
    <w:rsid w:val="003F4CB5"/>
    <w:rsid w:val="00405474"/>
    <w:rsid w:val="004134C1"/>
    <w:rsid w:val="00415294"/>
    <w:rsid w:val="0041603F"/>
    <w:rsid w:val="00423F51"/>
    <w:rsid w:val="00432F1F"/>
    <w:rsid w:val="00437D34"/>
    <w:rsid w:val="00450804"/>
    <w:rsid w:val="004525F0"/>
    <w:rsid w:val="00460AC7"/>
    <w:rsid w:val="00466877"/>
    <w:rsid w:val="00466F88"/>
    <w:rsid w:val="004775EA"/>
    <w:rsid w:val="00477F8D"/>
    <w:rsid w:val="00480B31"/>
    <w:rsid w:val="00481BDD"/>
    <w:rsid w:val="00484AF9"/>
    <w:rsid w:val="00484EAE"/>
    <w:rsid w:val="00485FEE"/>
    <w:rsid w:val="00487692"/>
    <w:rsid w:val="00490112"/>
    <w:rsid w:val="00491B1C"/>
    <w:rsid w:val="00494746"/>
    <w:rsid w:val="00494F45"/>
    <w:rsid w:val="004A256F"/>
    <w:rsid w:val="004B21A1"/>
    <w:rsid w:val="004B3F51"/>
    <w:rsid w:val="004C2B93"/>
    <w:rsid w:val="004C5645"/>
    <w:rsid w:val="004C70FC"/>
    <w:rsid w:val="004D0AB1"/>
    <w:rsid w:val="004D204C"/>
    <w:rsid w:val="004D6F9A"/>
    <w:rsid w:val="004E0CB8"/>
    <w:rsid w:val="004E61D0"/>
    <w:rsid w:val="004F09F3"/>
    <w:rsid w:val="004F392F"/>
    <w:rsid w:val="004F4EF3"/>
    <w:rsid w:val="004F5B60"/>
    <w:rsid w:val="00500A05"/>
    <w:rsid w:val="00512E06"/>
    <w:rsid w:val="0051585D"/>
    <w:rsid w:val="00516926"/>
    <w:rsid w:val="00516B31"/>
    <w:rsid w:val="00516D3E"/>
    <w:rsid w:val="005207F4"/>
    <w:rsid w:val="005262AC"/>
    <w:rsid w:val="0055048A"/>
    <w:rsid w:val="00550D75"/>
    <w:rsid w:val="005633CE"/>
    <w:rsid w:val="00574D06"/>
    <w:rsid w:val="00586F2A"/>
    <w:rsid w:val="005879E9"/>
    <w:rsid w:val="00590363"/>
    <w:rsid w:val="00591069"/>
    <w:rsid w:val="005931BB"/>
    <w:rsid w:val="0059363A"/>
    <w:rsid w:val="0059691B"/>
    <w:rsid w:val="00597142"/>
    <w:rsid w:val="005A3B62"/>
    <w:rsid w:val="005A7E69"/>
    <w:rsid w:val="005B33CD"/>
    <w:rsid w:val="005B5BD2"/>
    <w:rsid w:val="005B7258"/>
    <w:rsid w:val="005C0BB8"/>
    <w:rsid w:val="005C15FD"/>
    <w:rsid w:val="005C34EB"/>
    <w:rsid w:val="005C7DC6"/>
    <w:rsid w:val="005D74FE"/>
    <w:rsid w:val="005E0C06"/>
    <w:rsid w:val="005E3BB0"/>
    <w:rsid w:val="005E5C32"/>
    <w:rsid w:val="005E638A"/>
    <w:rsid w:val="005F5764"/>
    <w:rsid w:val="0060342C"/>
    <w:rsid w:val="0061003E"/>
    <w:rsid w:val="006130D3"/>
    <w:rsid w:val="006247CA"/>
    <w:rsid w:val="006250A3"/>
    <w:rsid w:val="00627C84"/>
    <w:rsid w:val="006367EA"/>
    <w:rsid w:val="006426E2"/>
    <w:rsid w:val="0066074E"/>
    <w:rsid w:val="006612DA"/>
    <w:rsid w:val="0066157E"/>
    <w:rsid w:val="00661C86"/>
    <w:rsid w:val="00661EA1"/>
    <w:rsid w:val="00672523"/>
    <w:rsid w:val="00677878"/>
    <w:rsid w:val="0067792E"/>
    <w:rsid w:val="00682445"/>
    <w:rsid w:val="00683DA6"/>
    <w:rsid w:val="00684733"/>
    <w:rsid w:val="006854F0"/>
    <w:rsid w:val="00686A1F"/>
    <w:rsid w:val="00687500"/>
    <w:rsid w:val="006936CE"/>
    <w:rsid w:val="006965FD"/>
    <w:rsid w:val="006A1701"/>
    <w:rsid w:val="006A63F1"/>
    <w:rsid w:val="006B080E"/>
    <w:rsid w:val="006B0832"/>
    <w:rsid w:val="006B318E"/>
    <w:rsid w:val="006B58FD"/>
    <w:rsid w:val="006C01F9"/>
    <w:rsid w:val="006C443D"/>
    <w:rsid w:val="006E1B58"/>
    <w:rsid w:val="006F36F4"/>
    <w:rsid w:val="0071781B"/>
    <w:rsid w:val="0072216B"/>
    <w:rsid w:val="00727E22"/>
    <w:rsid w:val="00733C73"/>
    <w:rsid w:val="00753710"/>
    <w:rsid w:val="007557C5"/>
    <w:rsid w:val="0076518C"/>
    <w:rsid w:val="007739F2"/>
    <w:rsid w:val="00776B25"/>
    <w:rsid w:val="00784C86"/>
    <w:rsid w:val="00785030"/>
    <w:rsid w:val="00797D9B"/>
    <w:rsid w:val="00797F86"/>
    <w:rsid w:val="007C0BD7"/>
    <w:rsid w:val="007C1DCB"/>
    <w:rsid w:val="007C2598"/>
    <w:rsid w:val="007C57D1"/>
    <w:rsid w:val="007C6EF3"/>
    <w:rsid w:val="007D01F5"/>
    <w:rsid w:val="007D0823"/>
    <w:rsid w:val="007D41DF"/>
    <w:rsid w:val="007D7E2A"/>
    <w:rsid w:val="007E18D9"/>
    <w:rsid w:val="007E1AD1"/>
    <w:rsid w:val="007F5560"/>
    <w:rsid w:val="00805873"/>
    <w:rsid w:val="00811E0D"/>
    <w:rsid w:val="00813328"/>
    <w:rsid w:val="0082541F"/>
    <w:rsid w:val="008277F1"/>
    <w:rsid w:val="0083699E"/>
    <w:rsid w:val="00840F93"/>
    <w:rsid w:val="00841B9A"/>
    <w:rsid w:val="00845ABC"/>
    <w:rsid w:val="00850B06"/>
    <w:rsid w:val="00854D51"/>
    <w:rsid w:val="00856903"/>
    <w:rsid w:val="0086047D"/>
    <w:rsid w:val="00860A4F"/>
    <w:rsid w:val="00862929"/>
    <w:rsid w:val="008675D5"/>
    <w:rsid w:val="00873B89"/>
    <w:rsid w:val="00874067"/>
    <w:rsid w:val="0087745E"/>
    <w:rsid w:val="0088111C"/>
    <w:rsid w:val="0088195F"/>
    <w:rsid w:val="0089712D"/>
    <w:rsid w:val="008A2B4E"/>
    <w:rsid w:val="008B17D4"/>
    <w:rsid w:val="008B2E47"/>
    <w:rsid w:val="008B7D2A"/>
    <w:rsid w:val="008C4C54"/>
    <w:rsid w:val="008C5BB6"/>
    <w:rsid w:val="008C6CC8"/>
    <w:rsid w:val="008D2F6E"/>
    <w:rsid w:val="008D41C4"/>
    <w:rsid w:val="008D4DA1"/>
    <w:rsid w:val="008E1B3D"/>
    <w:rsid w:val="008E273E"/>
    <w:rsid w:val="008F0225"/>
    <w:rsid w:val="008F0A28"/>
    <w:rsid w:val="008F305A"/>
    <w:rsid w:val="009031AB"/>
    <w:rsid w:val="00910091"/>
    <w:rsid w:val="00914F7A"/>
    <w:rsid w:val="009164D3"/>
    <w:rsid w:val="00920A64"/>
    <w:rsid w:val="00920FF8"/>
    <w:rsid w:val="00921571"/>
    <w:rsid w:val="00921844"/>
    <w:rsid w:val="00922BEE"/>
    <w:rsid w:val="009324EA"/>
    <w:rsid w:val="009325C9"/>
    <w:rsid w:val="00940224"/>
    <w:rsid w:val="009418A4"/>
    <w:rsid w:val="00942CC9"/>
    <w:rsid w:val="009433CE"/>
    <w:rsid w:val="00957CA7"/>
    <w:rsid w:val="009628B2"/>
    <w:rsid w:val="00962C18"/>
    <w:rsid w:val="009645EE"/>
    <w:rsid w:val="00972F25"/>
    <w:rsid w:val="00973991"/>
    <w:rsid w:val="00973D4C"/>
    <w:rsid w:val="00974343"/>
    <w:rsid w:val="00977AF4"/>
    <w:rsid w:val="009804A3"/>
    <w:rsid w:val="009826E8"/>
    <w:rsid w:val="00997133"/>
    <w:rsid w:val="009A0C50"/>
    <w:rsid w:val="009A19A8"/>
    <w:rsid w:val="009A57CB"/>
    <w:rsid w:val="009A6D05"/>
    <w:rsid w:val="009B1185"/>
    <w:rsid w:val="009B2D39"/>
    <w:rsid w:val="009B5922"/>
    <w:rsid w:val="009B5EBA"/>
    <w:rsid w:val="009B7C23"/>
    <w:rsid w:val="009C0724"/>
    <w:rsid w:val="009C60BD"/>
    <w:rsid w:val="009C74B6"/>
    <w:rsid w:val="009D3971"/>
    <w:rsid w:val="009E0601"/>
    <w:rsid w:val="009F1F30"/>
    <w:rsid w:val="009F51D7"/>
    <w:rsid w:val="009F643B"/>
    <w:rsid w:val="009F771E"/>
    <w:rsid w:val="00A040EC"/>
    <w:rsid w:val="00A04BC8"/>
    <w:rsid w:val="00A05DC0"/>
    <w:rsid w:val="00A070BD"/>
    <w:rsid w:val="00A12C46"/>
    <w:rsid w:val="00A13975"/>
    <w:rsid w:val="00A15D5D"/>
    <w:rsid w:val="00A21479"/>
    <w:rsid w:val="00A21A15"/>
    <w:rsid w:val="00A2471D"/>
    <w:rsid w:val="00A24FBC"/>
    <w:rsid w:val="00A27665"/>
    <w:rsid w:val="00A27B45"/>
    <w:rsid w:val="00A307CC"/>
    <w:rsid w:val="00A32C24"/>
    <w:rsid w:val="00A433AE"/>
    <w:rsid w:val="00A444CD"/>
    <w:rsid w:val="00A508B2"/>
    <w:rsid w:val="00A511EF"/>
    <w:rsid w:val="00A52145"/>
    <w:rsid w:val="00A537D5"/>
    <w:rsid w:val="00A53DFE"/>
    <w:rsid w:val="00A57073"/>
    <w:rsid w:val="00A60078"/>
    <w:rsid w:val="00A605D2"/>
    <w:rsid w:val="00A64390"/>
    <w:rsid w:val="00A7476B"/>
    <w:rsid w:val="00A91D97"/>
    <w:rsid w:val="00A94403"/>
    <w:rsid w:val="00AA44E2"/>
    <w:rsid w:val="00AB6595"/>
    <w:rsid w:val="00AC06A9"/>
    <w:rsid w:val="00AC2667"/>
    <w:rsid w:val="00AC7FA1"/>
    <w:rsid w:val="00AD0345"/>
    <w:rsid w:val="00AD157E"/>
    <w:rsid w:val="00AD481A"/>
    <w:rsid w:val="00AD64F2"/>
    <w:rsid w:val="00AD6974"/>
    <w:rsid w:val="00AE2414"/>
    <w:rsid w:val="00AE55E3"/>
    <w:rsid w:val="00AE6401"/>
    <w:rsid w:val="00AF15E0"/>
    <w:rsid w:val="00AF5F1A"/>
    <w:rsid w:val="00AF766F"/>
    <w:rsid w:val="00B0444D"/>
    <w:rsid w:val="00B05E5E"/>
    <w:rsid w:val="00B0626A"/>
    <w:rsid w:val="00B152D3"/>
    <w:rsid w:val="00B15F98"/>
    <w:rsid w:val="00B33B2B"/>
    <w:rsid w:val="00B33D29"/>
    <w:rsid w:val="00B4194B"/>
    <w:rsid w:val="00B473DD"/>
    <w:rsid w:val="00B5673D"/>
    <w:rsid w:val="00B57080"/>
    <w:rsid w:val="00B6271C"/>
    <w:rsid w:val="00B628AC"/>
    <w:rsid w:val="00B64BE0"/>
    <w:rsid w:val="00B6585A"/>
    <w:rsid w:val="00B7072F"/>
    <w:rsid w:val="00B72CEA"/>
    <w:rsid w:val="00B74614"/>
    <w:rsid w:val="00B753B9"/>
    <w:rsid w:val="00B764C0"/>
    <w:rsid w:val="00B76860"/>
    <w:rsid w:val="00B8597A"/>
    <w:rsid w:val="00B9077D"/>
    <w:rsid w:val="00B92714"/>
    <w:rsid w:val="00B9570F"/>
    <w:rsid w:val="00B96C6C"/>
    <w:rsid w:val="00BA35A1"/>
    <w:rsid w:val="00BA54AD"/>
    <w:rsid w:val="00BB178B"/>
    <w:rsid w:val="00BB5858"/>
    <w:rsid w:val="00BB7572"/>
    <w:rsid w:val="00BC3F58"/>
    <w:rsid w:val="00BC5EDD"/>
    <w:rsid w:val="00BD3B65"/>
    <w:rsid w:val="00BD4F85"/>
    <w:rsid w:val="00BD6A38"/>
    <w:rsid w:val="00BE147E"/>
    <w:rsid w:val="00BE2931"/>
    <w:rsid w:val="00BF0A29"/>
    <w:rsid w:val="00BF35B6"/>
    <w:rsid w:val="00BF4B30"/>
    <w:rsid w:val="00BF73FE"/>
    <w:rsid w:val="00C02204"/>
    <w:rsid w:val="00C04EE4"/>
    <w:rsid w:val="00C06C51"/>
    <w:rsid w:val="00C0733F"/>
    <w:rsid w:val="00C13DAB"/>
    <w:rsid w:val="00C24200"/>
    <w:rsid w:val="00C31239"/>
    <w:rsid w:val="00C364E1"/>
    <w:rsid w:val="00C37626"/>
    <w:rsid w:val="00C415A1"/>
    <w:rsid w:val="00C47D82"/>
    <w:rsid w:val="00C51AF5"/>
    <w:rsid w:val="00C63DAB"/>
    <w:rsid w:val="00C7166B"/>
    <w:rsid w:val="00C729CA"/>
    <w:rsid w:val="00C810F3"/>
    <w:rsid w:val="00C82287"/>
    <w:rsid w:val="00C82CE1"/>
    <w:rsid w:val="00C872B7"/>
    <w:rsid w:val="00C8730E"/>
    <w:rsid w:val="00C91404"/>
    <w:rsid w:val="00C91D9A"/>
    <w:rsid w:val="00C926EA"/>
    <w:rsid w:val="00C93E83"/>
    <w:rsid w:val="00C95500"/>
    <w:rsid w:val="00C957F6"/>
    <w:rsid w:val="00C959FE"/>
    <w:rsid w:val="00CB0B5A"/>
    <w:rsid w:val="00CC152F"/>
    <w:rsid w:val="00CD2645"/>
    <w:rsid w:val="00CD5760"/>
    <w:rsid w:val="00CE6F4E"/>
    <w:rsid w:val="00CF4958"/>
    <w:rsid w:val="00CF6625"/>
    <w:rsid w:val="00CF72BB"/>
    <w:rsid w:val="00CF7550"/>
    <w:rsid w:val="00D00204"/>
    <w:rsid w:val="00D01DDA"/>
    <w:rsid w:val="00D11A3D"/>
    <w:rsid w:val="00D174BF"/>
    <w:rsid w:val="00D24DDE"/>
    <w:rsid w:val="00D335D9"/>
    <w:rsid w:val="00D41826"/>
    <w:rsid w:val="00D4231D"/>
    <w:rsid w:val="00D4431D"/>
    <w:rsid w:val="00D444E2"/>
    <w:rsid w:val="00D46DDB"/>
    <w:rsid w:val="00D52739"/>
    <w:rsid w:val="00D5275A"/>
    <w:rsid w:val="00D623A4"/>
    <w:rsid w:val="00D66B55"/>
    <w:rsid w:val="00D67963"/>
    <w:rsid w:val="00D71496"/>
    <w:rsid w:val="00D86FD7"/>
    <w:rsid w:val="00D90D3B"/>
    <w:rsid w:val="00D95245"/>
    <w:rsid w:val="00D97F44"/>
    <w:rsid w:val="00DA26D3"/>
    <w:rsid w:val="00DB2FC3"/>
    <w:rsid w:val="00DB36F7"/>
    <w:rsid w:val="00DC08B2"/>
    <w:rsid w:val="00DC5DDE"/>
    <w:rsid w:val="00DD0578"/>
    <w:rsid w:val="00DD0AFF"/>
    <w:rsid w:val="00DD5763"/>
    <w:rsid w:val="00DD6A80"/>
    <w:rsid w:val="00DE207F"/>
    <w:rsid w:val="00DE4B7B"/>
    <w:rsid w:val="00DF01FF"/>
    <w:rsid w:val="00DF3E51"/>
    <w:rsid w:val="00DF644C"/>
    <w:rsid w:val="00E0156B"/>
    <w:rsid w:val="00E02CE0"/>
    <w:rsid w:val="00E04182"/>
    <w:rsid w:val="00E04570"/>
    <w:rsid w:val="00E05B00"/>
    <w:rsid w:val="00E11EDC"/>
    <w:rsid w:val="00E17819"/>
    <w:rsid w:val="00E20731"/>
    <w:rsid w:val="00E20A33"/>
    <w:rsid w:val="00E21A7B"/>
    <w:rsid w:val="00E3110F"/>
    <w:rsid w:val="00E31D88"/>
    <w:rsid w:val="00E33AE3"/>
    <w:rsid w:val="00E344D0"/>
    <w:rsid w:val="00E377E7"/>
    <w:rsid w:val="00E37E71"/>
    <w:rsid w:val="00E47187"/>
    <w:rsid w:val="00E51EA8"/>
    <w:rsid w:val="00E53873"/>
    <w:rsid w:val="00E55205"/>
    <w:rsid w:val="00E6419B"/>
    <w:rsid w:val="00E655B5"/>
    <w:rsid w:val="00E656D4"/>
    <w:rsid w:val="00E70398"/>
    <w:rsid w:val="00E73C19"/>
    <w:rsid w:val="00E844F8"/>
    <w:rsid w:val="00E84E0E"/>
    <w:rsid w:val="00E9203B"/>
    <w:rsid w:val="00E931B4"/>
    <w:rsid w:val="00E93803"/>
    <w:rsid w:val="00EA2CC3"/>
    <w:rsid w:val="00EA68F1"/>
    <w:rsid w:val="00EB6831"/>
    <w:rsid w:val="00EB6DAD"/>
    <w:rsid w:val="00EC1BCD"/>
    <w:rsid w:val="00ED1DB5"/>
    <w:rsid w:val="00ED1E5A"/>
    <w:rsid w:val="00ED5EA0"/>
    <w:rsid w:val="00EE104E"/>
    <w:rsid w:val="00EE2516"/>
    <w:rsid w:val="00EE73AF"/>
    <w:rsid w:val="00EF1F2D"/>
    <w:rsid w:val="00F01B84"/>
    <w:rsid w:val="00F0759C"/>
    <w:rsid w:val="00F1071A"/>
    <w:rsid w:val="00F129E2"/>
    <w:rsid w:val="00F16E33"/>
    <w:rsid w:val="00F23530"/>
    <w:rsid w:val="00F23ED9"/>
    <w:rsid w:val="00F267CF"/>
    <w:rsid w:val="00F35304"/>
    <w:rsid w:val="00F40E14"/>
    <w:rsid w:val="00F43775"/>
    <w:rsid w:val="00F43CC9"/>
    <w:rsid w:val="00F464D4"/>
    <w:rsid w:val="00F46752"/>
    <w:rsid w:val="00F52F1D"/>
    <w:rsid w:val="00F5557A"/>
    <w:rsid w:val="00F620D1"/>
    <w:rsid w:val="00F72754"/>
    <w:rsid w:val="00F916CD"/>
    <w:rsid w:val="00F9608D"/>
    <w:rsid w:val="00FA2084"/>
    <w:rsid w:val="00FA2690"/>
    <w:rsid w:val="00FA5527"/>
    <w:rsid w:val="00FA5CF8"/>
    <w:rsid w:val="00FB1E0B"/>
    <w:rsid w:val="00FD1EE5"/>
    <w:rsid w:val="00FD2139"/>
    <w:rsid w:val="00FD6DF9"/>
    <w:rsid w:val="00FD7CCB"/>
    <w:rsid w:val="00FE1820"/>
    <w:rsid w:val="00FE4790"/>
    <w:rsid w:val="00FE7F2E"/>
    <w:rsid w:val="00FF0820"/>
    <w:rsid w:val="00FF08DD"/>
    <w:rsid w:val="00FF5864"/>
    <w:rsid w:val="00FF6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90"/>
  </w:style>
  <w:style w:type="paragraph" w:styleId="Heading1">
    <w:name w:val="heading 1"/>
    <w:basedOn w:val="Normal"/>
    <w:next w:val="Normal"/>
    <w:link w:val="Heading1Char"/>
    <w:uiPriority w:val="9"/>
    <w:qFormat/>
    <w:rsid w:val="00480B3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E1"/>
    <w:pPr>
      <w:ind w:left="720"/>
      <w:contextualSpacing/>
    </w:pPr>
  </w:style>
  <w:style w:type="paragraph" w:styleId="BalloonText">
    <w:name w:val="Balloon Text"/>
    <w:basedOn w:val="Normal"/>
    <w:link w:val="BalloonTextChar"/>
    <w:uiPriority w:val="99"/>
    <w:semiHidden/>
    <w:unhideWhenUsed/>
    <w:rsid w:val="00E47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187"/>
    <w:rPr>
      <w:rFonts w:ascii="Tahoma" w:hAnsi="Tahoma" w:cs="Tahoma"/>
      <w:sz w:val="16"/>
      <w:szCs w:val="16"/>
    </w:rPr>
  </w:style>
  <w:style w:type="character" w:customStyle="1" w:styleId="Heading1Char">
    <w:name w:val="Heading 1 Char"/>
    <w:basedOn w:val="DefaultParagraphFont"/>
    <w:link w:val="Heading1"/>
    <w:uiPriority w:val="9"/>
    <w:rsid w:val="00480B3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480B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Lew11</b:Tag>
    <b:SourceType>BookSection</b:SourceType>
    <b:Guid>{9CA7F5FC-17D7-40ED-97F1-C636FFB6A617}</b:Guid>
    <b:LCID>0</b:LCID>
    <b:Author>
      <b:BookAuthor>
        <b:NameList>
          <b:Person>
            <b:Last>Lewis</b:Last>
            <b:First>Sharon</b:First>
          </b:Person>
          <b:Person>
            <b:Last>Dirksen</b:Last>
            <b:First>Shannon</b:First>
          </b:Person>
          <b:Person>
            <b:Last>Heitkemper</b:Last>
            <b:First>Margaret</b:First>
          </b:Person>
          <b:Person>
            <b:Last>Bucher</b:Last>
            <b:First>Linda</b:First>
          </b:Person>
          <b:Person>
            <b:Last>Camera</b:Last>
            <b:First>Ian</b:First>
          </b:Person>
        </b:NameList>
      </b:BookAuthor>
    </b:Author>
    <b:Title>Diabetes Mellitus</b:Title>
    <b:Year>2011</b:Year>
    <b:BookTitle>Medical Surgical Nurings</b:BookTitle>
    <b:Pages>1218-1252</b:Pages>
    <b:City>St. Louis</b:City>
    <b:Publisher>Elsevier</b:Publisher>
    <b:RefOrder>1</b:RefOrder>
  </b:Source>
  <b:Source>
    <b:Tag>ATI</b:Tag>
    <b:SourceType>Book</b:SourceType>
    <b:Guid>{DB6B6FBE-F33A-4E2E-A722-AC210528B8A2}</b:Guid>
    <b:LCID>0</b:LCID>
    <b:Author>
      <b:Author>
        <b:Corporate>ATI</b:Corporate>
      </b:Author>
    </b:Author>
    <b:Title>Ati Pharmacology</b:Title>
    <b:Publisher>ATI</b:Publisher>
    <b:RefOrder>2</b:RefOrder>
  </b:Source>
</b:Sources>
</file>

<file path=customXml/itemProps1.xml><?xml version="1.0" encoding="utf-8"?>
<ds:datastoreItem xmlns:ds="http://schemas.openxmlformats.org/officeDocument/2006/customXml" ds:itemID="{ADC7CD10-925C-413E-9A70-FE1B2E95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2</cp:revision>
  <dcterms:created xsi:type="dcterms:W3CDTF">2012-02-06T21:10:00Z</dcterms:created>
  <dcterms:modified xsi:type="dcterms:W3CDTF">2012-02-06T21:10:00Z</dcterms:modified>
</cp:coreProperties>
</file>