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8A" w:rsidRPr="0015368A" w:rsidRDefault="0015368A" w:rsidP="006E7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8A">
        <w:rPr>
          <w:rFonts w:ascii="Times New Roman" w:hAnsi="Times New Roman" w:cs="Times New Roman"/>
          <w:b/>
          <w:sz w:val="24"/>
          <w:szCs w:val="24"/>
        </w:rPr>
        <w:t>Curre</w:t>
      </w:r>
      <w:r w:rsidR="006E72FB">
        <w:rPr>
          <w:rFonts w:ascii="Times New Roman" w:hAnsi="Times New Roman" w:cs="Times New Roman"/>
          <w:b/>
          <w:sz w:val="24"/>
          <w:szCs w:val="24"/>
        </w:rPr>
        <w:t>nt Issues Group Project</w:t>
      </w: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 w:rsidRPr="0015368A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Venous Thromboembolism (VTE) Risk Assessment and Intervention, Guidelines</w:t>
      </w:r>
    </w:p>
    <w:p w:rsidR="00EA4474" w:rsidRDefault="00EA4474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updated: 3/11</w:t>
      </w: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 w:rsidRPr="0015368A">
        <w:rPr>
          <w:rFonts w:ascii="Times New Roman" w:hAnsi="Times New Roman" w:cs="Times New Roman"/>
          <w:b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FRMC Nursing Policy and Procedure Manual, Intranet</w:t>
      </w: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 w:rsidRPr="0015368A">
        <w:rPr>
          <w:rFonts w:ascii="Times New Roman" w:hAnsi="Times New Roman" w:cs="Times New Roman"/>
          <w:b/>
          <w:sz w:val="24"/>
          <w:szCs w:val="24"/>
        </w:rPr>
        <w:t>Summary of Policy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4B5" w:rsidRDefault="00EA4474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 t</w:t>
      </w:r>
      <w:r w:rsidR="0015368A">
        <w:rPr>
          <w:rFonts w:ascii="Times New Roman" w:hAnsi="Times New Roman" w:cs="Times New Roman"/>
          <w:sz w:val="24"/>
          <w:szCs w:val="24"/>
        </w:rPr>
        <w:t xml:space="preserve">o provide a concise, organized assessment of VTE risk factors and to standardize VTE prophylactic therapy and education for all Firelands patients on admission and throughout the patient’s hospital stay as indicated. </w:t>
      </w:r>
      <w:r w:rsidR="009044B5">
        <w:rPr>
          <w:rFonts w:ascii="Times New Roman" w:hAnsi="Times New Roman" w:cs="Times New Roman"/>
          <w:sz w:val="24"/>
          <w:szCs w:val="24"/>
        </w:rPr>
        <w:t xml:space="preserve">The term </w:t>
      </w:r>
      <w:r>
        <w:rPr>
          <w:rFonts w:ascii="Times New Roman" w:hAnsi="Times New Roman" w:cs="Times New Roman"/>
          <w:sz w:val="24"/>
          <w:szCs w:val="24"/>
        </w:rPr>
        <w:t xml:space="preserve">venous </w:t>
      </w:r>
      <w:r w:rsidR="009044B5">
        <w:rPr>
          <w:rFonts w:ascii="Times New Roman" w:hAnsi="Times New Roman" w:cs="Times New Roman"/>
          <w:sz w:val="24"/>
          <w:szCs w:val="24"/>
        </w:rPr>
        <w:t xml:space="preserve">thromboembolism includes deep vein thrombosis (DVT) and its most common complication, pulmonary embolism (PE). </w:t>
      </w:r>
    </w:p>
    <w:p w:rsidR="009044B5" w:rsidRDefault="009044B5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is to complete the Skin and VTE Assessment on admission and daily</w:t>
      </w:r>
      <w:r w:rsidR="001061B4">
        <w:rPr>
          <w:rFonts w:ascii="Times New Roman" w:hAnsi="Times New Roman" w:cs="Times New Roman"/>
          <w:sz w:val="24"/>
          <w:szCs w:val="24"/>
        </w:rPr>
        <w:t>.</w:t>
      </w:r>
    </w:p>
    <w:p w:rsidR="0015368A" w:rsidRDefault="009044B5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Fifteen specific questions are asked to assess a patient’s VTE risk</w:t>
      </w:r>
      <w:r w:rsidR="001061B4">
        <w:rPr>
          <w:rFonts w:ascii="Times New Roman" w:hAnsi="Times New Roman" w:cs="Times New Roman"/>
          <w:sz w:val="24"/>
          <w:szCs w:val="24"/>
        </w:rPr>
        <w:t>.</w:t>
      </w:r>
      <w:r w:rsidR="001536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061B4" w:rsidRDefault="001061B4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factors include: Major/minor trauma or surgery in the past six months, current malignancy or cancer therapy, previous VTE/TIA/CVA, thrombophilia (clotting disorder), critical </w:t>
      </w:r>
      <w:r w:rsidR="00EA4474">
        <w:rPr>
          <w:rFonts w:ascii="Times New Roman" w:hAnsi="Times New Roman" w:cs="Times New Roman"/>
          <w:sz w:val="24"/>
          <w:szCs w:val="24"/>
        </w:rPr>
        <w:t>care unit, over age 40</w:t>
      </w:r>
      <w:r>
        <w:rPr>
          <w:rFonts w:ascii="Times New Roman" w:hAnsi="Times New Roman" w:cs="Times New Roman"/>
          <w:sz w:val="24"/>
          <w:szCs w:val="24"/>
        </w:rPr>
        <w:t xml:space="preserve">, use of contraceptives/hormones, pregnancy, obesity (BMI &gt; 30), immobility, smoking in the past year, varicose </w:t>
      </w:r>
      <w:r w:rsidR="00EA4474">
        <w:rPr>
          <w:rFonts w:ascii="Times New Roman" w:hAnsi="Times New Roman" w:cs="Times New Roman"/>
          <w:sz w:val="24"/>
          <w:szCs w:val="24"/>
        </w:rPr>
        <w:t xml:space="preserve">veins, acute medical illness (heart failure). </w:t>
      </w:r>
    </w:p>
    <w:p w:rsidR="001061B4" w:rsidRDefault="001061B4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risk score is automatically calculated based on the responses within the assessment. Th</w:t>
      </w:r>
      <w:r w:rsidR="006E72FB">
        <w:rPr>
          <w:rFonts w:ascii="Times New Roman" w:hAnsi="Times New Roman" w:cs="Times New Roman"/>
          <w:sz w:val="24"/>
          <w:szCs w:val="24"/>
        </w:rPr>
        <w:t xml:space="preserve">e nurse then transfers the risk </w:t>
      </w:r>
      <w:r>
        <w:rPr>
          <w:rFonts w:ascii="Times New Roman" w:hAnsi="Times New Roman" w:cs="Times New Roman"/>
          <w:sz w:val="24"/>
          <w:szCs w:val="24"/>
        </w:rPr>
        <w:t xml:space="preserve">score (Low, Moderate, High) onto the appropriate section of the Physician Order Sheet. </w:t>
      </w:r>
    </w:p>
    <w:p w:rsidR="001061B4" w:rsidRDefault="006E72FB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Order Sheet is placed in the patient’s chart when the initial risk is id</w:t>
      </w:r>
      <w:r w:rsidR="00EA4474">
        <w:rPr>
          <w:rFonts w:ascii="Times New Roman" w:hAnsi="Times New Roman" w:cs="Times New Roman"/>
          <w:sz w:val="24"/>
          <w:szCs w:val="24"/>
        </w:rPr>
        <w:t xml:space="preserve">entified. Subsequent sheets should be added whenever an increased risk is identified. </w:t>
      </w:r>
    </w:p>
    <w:p w:rsidR="006E72FB" w:rsidRDefault="006E72FB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EA4474">
        <w:rPr>
          <w:rFonts w:ascii="Times New Roman" w:hAnsi="Times New Roman" w:cs="Times New Roman"/>
          <w:sz w:val="24"/>
          <w:szCs w:val="24"/>
        </w:rPr>
        <w:t xml:space="preserve">items addressed in the policy include </w:t>
      </w:r>
      <w:r>
        <w:rPr>
          <w:rFonts w:ascii="Times New Roman" w:hAnsi="Times New Roman" w:cs="Times New Roman"/>
          <w:sz w:val="24"/>
          <w:szCs w:val="24"/>
        </w:rPr>
        <w:t>assessment of home anticoagulant/antiplatelet use and teaching and education of medications.</w:t>
      </w:r>
    </w:p>
    <w:p w:rsidR="006E72FB" w:rsidRDefault="006E72FB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stated that “drug education is mandatory for patients on anticoagulants/antiplatelets.” Anticoagulant videos are available on the patient education video </w:t>
      </w:r>
      <w:r w:rsidR="00EA4474">
        <w:rPr>
          <w:rFonts w:ascii="Times New Roman" w:hAnsi="Times New Roman" w:cs="Times New Roman"/>
          <w:sz w:val="24"/>
          <w:szCs w:val="24"/>
        </w:rPr>
        <w:t>system;</w:t>
      </w:r>
      <w:r>
        <w:rPr>
          <w:rFonts w:ascii="Times New Roman" w:hAnsi="Times New Roman" w:cs="Times New Roman"/>
          <w:sz w:val="24"/>
          <w:szCs w:val="24"/>
        </w:rPr>
        <w:t xml:space="preserve"> drug specific education can be obtained from the intranet or internet as well. </w:t>
      </w:r>
    </w:p>
    <w:p w:rsidR="006E72FB" w:rsidRDefault="006E72FB" w:rsidP="006E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thinking: review ongoing patient PTT and INR lab values and therapeutic ranges. Consult pharmacy inpatient anticoagulation service and/or notify physician as indicated. Keep in mind the Coumadin Clinic. </w:t>
      </w: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68A" w:rsidRPr="0015368A" w:rsidRDefault="0015368A" w:rsidP="006E72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68A" w:rsidRPr="0015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8A"/>
    <w:rsid w:val="001061B4"/>
    <w:rsid w:val="0015368A"/>
    <w:rsid w:val="006E72FB"/>
    <w:rsid w:val="009044B5"/>
    <w:rsid w:val="00DD65E9"/>
    <w:rsid w:val="00EA4474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2013-04-15T04:15:00Z</dcterms:created>
  <dcterms:modified xsi:type="dcterms:W3CDTF">2013-04-15T04:15:00Z</dcterms:modified>
</cp:coreProperties>
</file>