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A6" w:rsidRDefault="00AD48A6"/>
    <w:p w:rsidR="008512F6" w:rsidRDefault="008512F6"/>
    <w:p w:rsidR="008512F6" w:rsidRDefault="008512F6">
      <w:r>
        <w:t>Compensatory Mechanisms:  Refer to Page 799 in Lewis text for the written explanations.</w:t>
      </w:r>
    </w:p>
    <w:p w:rsidR="008512F6" w:rsidRDefault="008512F6"/>
    <w:p w:rsidR="008512F6" w:rsidRDefault="008512F6">
      <w:r w:rsidRPr="008512F6">
        <w:drawing>
          <wp:inline distT="0" distB="0" distL="0" distR="0">
            <wp:extent cx="5724525" cy="6753225"/>
            <wp:effectExtent l="19050" t="0" r="9525" b="0"/>
            <wp:docPr id="1" name="Picture 1" descr="63C14B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63C14B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512F6" w:rsidSect="00AD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512F6"/>
    <w:rsid w:val="008512F6"/>
    <w:rsid w:val="00AD48A6"/>
    <w:rsid w:val="00CC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reisinj</cp:lastModifiedBy>
  <cp:revision>1</cp:revision>
  <dcterms:created xsi:type="dcterms:W3CDTF">2013-03-25T00:25:00Z</dcterms:created>
  <dcterms:modified xsi:type="dcterms:W3CDTF">2013-03-25T00:29:00Z</dcterms:modified>
</cp:coreProperties>
</file>